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9BF05">
      <w:pPr>
        <w:autoSpaceDE/>
        <w:autoSpaceDN/>
        <w:spacing w:line="360" w:lineRule="auto"/>
        <w:jc w:val="center"/>
        <w:outlineLvl w:val="0"/>
        <w:rPr>
          <w:rFonts w:ascii="黑体" w:hAnsi="Times New Roman" w:eastAsia="黑体" w:cs="Times New Roman"/>
          <w:kern w:val="2"/>
          <w:sz w:val="36"/>
          <w:szCs w:val="36"/>
        </w:rPr>
      </w:pPr>
      <w:r>
        <w:rPr>
          <w:rFonts w:hint="eastAsia" w:ascii="黑体" w:hAnsi="Times New Roman" w:eastAsia="黑体" w:cs="Times New Roman"/>
          <w:kern w:val="2"/>
          <w:sz w:val="36"/>
          <w:szCs w:val="36"/>
        </w:rPr>
        <w:t>《颠茄栽培技术规程》标准修订说明</w:t>
      </w:r>
    </w:p>
    <w:p w14:paraId="2A39BF06">
      <w:pPr>
        <w:pStyle w:val="5"/>
        <w:ind w:left="0"/>
        <w:rPr>
          <w:rFonts w:hint="eastAsia"/>
          <w:sz w:val="36"/>
        </w:rPr>
      </w:pPr>
    </w:p>
    <w:p w14:paraId="2A39BF07">
      <w:pPr>
        <w:autoSpaceDE/>
        <w:autoSpaceDN/>
        <w:ind w:firstLine="640" w:firstLineChars="200"/>
        <w:jc w:val="both"/>
        <w:outlineLvl w:val="0"/>
        <w:rPr>
          <w:rFonts w:ascii="黑体" w:hAnsi="Times New Roman" w:eastAsia="黑体" w:cs="Times New Roman"/>
          <w:kern w:val="2"/>
          <w:sz w:val="32"/>
          <w:szCs w:val="32"/>
        </w:rPr>
      </w:pPr>
      <w:r>
        <w:rPr>
          <w:rFonts w:hint="eastAsia" w:ascii="黑体" w:hAnsi="Times New Roman" w:eastAsia="黑体" w:cs="Times New Roman"/>
          <w:kern w:val="2"/>
          <w:sz w:val="32"/>
          <w:szCs w:val="32"/>
        </w:rPr>
        <w:t>一．工作简况</w:t>
      </w:r>
    </w:p>
    <w:p w14:paraId="2A39BF08">
      <w:pPr>
        <w:autoSpaceDE/>
        <w:autoSpaceDN/>
        <w:ind w:firstLine="640" w:firstLineChars="200"/>
        <w:jc w:val="both"/>
        <w:outlineLvl w:val="1"/>
        <w:rPr>
          <w:rFonts w:ascii="楷体_GB2312" w:hAnsi="Times New Roman" w:eastAsia="楷体_GB2312" w:cs="Times New Roman"/>
          <w:kern w:val="2"/>
          <w:sz w:val="32"/>
          <w:szCs w:val="32"/>
        </w:rPr>
      </w:pPr>
      <w:r>
        <w:rPr>
          <w:rFonts w:hint="eastAsia" w:ascii="楷体_GB2312" w:hAnsi="Times New Roman" w:eastAsia="楷体_GB2312" w:cs="Times New Roman"/>
          <w:kern w:val="2"/>
          <w:sz w:val="32"/>
          <w:szCs w:val="32"/>
        </w:rPr>
        <w:t>1.任务来源</w:t>
      </w:r>
    </w:p>
    <w:p w14:paraId="21D53F21">
      <w:pPr>
        <w:autoSpaceDE/>
        <w:autoSpaceDN/>
        <w:ind w:firstLine="560" w:firstLineChars="200"/>
        <w:jc w:val="both"/>
        <w:outlineLvl w:val="1"/>
        <w:rPr>
          <w:rFonts w:ascii="Times New Roman" w:hAnsi="Times New Roman" w:cs="Times New Roman"/>
          <w:kern w:val="2"/>
          <w:sz w:val="28"/>
          <w:szCs w:val="28"/>
        </w:rPr>
      </w:pPr>
      <w:r>
        <w:rPr>
          <w:rFonts w:hint="eastAsia" w:ascii="Times New Roman" w:hAnsi="Times New Roman" w:cs="Times New Roman"/>
          <w:kern w:val="2"/>
          <w:sz w:val="28"/>
          <w:szCs w:val="28"/>
        </w:rPr>
        <w:t>江西省市场监督管理局《关于同意修订&lt;低效林改造技术规程&gt;等24项林业地方标准的复函》。</w:t>
      </w:r>
    </w:p>
    <w:p w14:paraId="2A39BF0A">
      <w:pPr>
        <w:autoSpaceDE/>
        <w:autoSpaceDN/>
        <w:ind w:firstLine="640" w:firstLineChars="200"/>
        <w:jc w:val="both"/>
        <w:outlineLvl w:val="1"/>
        <w:rPr>
          <w:rFonts w:ascii="楷体_GB2312" w:hAnsi="Times New Roman" w:eastAsia="楷体_GB2312" w:cs="Times New Roman"/>
          <w:kern w:val="2"/>
          <w:sz w:val="32"/>
          <w:szCs w:val="32"/>
        </w:rPr>
      </w:pPr>
      <w:r>
        <w:rPr>
          <w:rFonts w:hint="eastAsia" w:ascii="楷体_GB2312" w:hAnsi="Times New Roman" w:eastAsia="楷体_GB2312" w:cs="Times New Roman"/>
          <w:kern w:val="2"/>
          <w:sz w:val="32"/>
          <w:szCs w:val="32"/>
        </w:rPr>
        <w:t>2.完成单位</w:t>
      </w:r>
    </w:p>
    <w:p w14:paraId="2A39BF0B">
      <w:pPr>
        <w:pStyle w:val="5"/>
        <w:autoSpaceDE/>
        <w:autoSpaceDN/>
        <w:spacing w:before="161" w:line="364" w:lineRule="auto"/>
        <w:ind w:left="119" w:right="237" w:firstLine="560" w:firstLineChars="200"/>
        <w:jc w:val="both"/>
        <w:rPr>
          <w:rFonts w:ascii="Times New Roman" w:hAnsi="Times New Roman" w:cs="Times New Roman"/>
          <w:kern w:val="2"/>
          <w:sz w:val="28"/>
          <w:szCs w:val="28"/>
        </w:rPr>
      </w:pPr>
      <w:r>
        <w:rPr>
          <w:rFonts w:hint="eastAsia" w:ascii="Times New Roman" w:hAnsi="Times New Roman" w:cs="Times New Roman"/>
          <w:kern w:val="2"/>
          <w:sz w:val="28"/>
          <w:szCs w:val="28"/>
        </w:rPr>
        <w:t>本文件由江西省林业局提出并归口。本文件完成单位：江西省林业科学院、石药集团江西金芙蓉药业股份有限公司、江西省标准化研究院。</w:t>
      </w:r>
    </w:p>
    <w:p w14:paraId="2A39BF0C">
      <w:pPr>
        <w:autoSpaceDE/>
        <w:autoSpaceDN/>
        <w:ind w:firstLine="640" w:firstLineChars="200"/>
        <w:jc w:val="both"/>
        <w:outlineLvl w:val="1"/>
        <w:rPr>
          <w:rFonts w:ascii="楷体_GB2312" w:hAnsi="Times New Roman" w:eastAsia="楷体_GB2312" w:cs="Times New Roman"/>
          <w:kern w:val="2"/>
          <w:sz w:val="32"/>
          <w:szCs w:val="32"/>
        </w:rPr>
      </w:pPr>
      <w:r>
        <w:rPr>
          <w:rFonts w:hint="eastAsia" w:ascii="楷体_GB2312" w:hAnsi="Times New Roman" w:eastAsia="楷体_GB2312" w:cs="Times New Roman"/>
          <w:kern w:val="2"/>
          <w:sz w:val="32"/>
          <w:szCs w:val="32"/>
        </w:rPr>
        <w:t>3.主要起草人</w:t>
      </w:r>
    </w:p>
    <w:p w14:paraId="2A39BF0D">
      <w:pPr>
        <w:pStyle w:val="5"/>
        <w:autoSpaceDE/>
        <w:autoSpaceDN/>
        <w:spacing w:before="161" w:line="364" w:lineRule="auto"/>
        <w:ind w:left="119" w:right="237" w:firstLine="560" w:firstLineChars="200"/>
        <w:jc w:val="both"/>
        <w:rPr>
          <w:rFonts w:ascii="Times New Roman" w:hAnsi="Times New Roman" w:cs="Times New Roman"/>
          <w:kern w:val="2"/>
          <w:sz w:val="28"/>
          <w:szCs w:val="28"/>
        </w:rPr>
      </w:pPr>
      <w:r>
        <w:rPr>
          <w:rFonts w:hint="eastAsia" w:ascii="Times New Roman" w:hAnsi="Times New Roman" w:cs="Times New Roman"/>
          <w:kern w:val="2"/>
          <w:sz w:val="28"/>
          <w:szCs w:val="28"/>
        </w:rPr>
        <w:t>为统筹做好林业地方标准制修订工作，服务全省林业高质量发展，2024年8月，由丁伟牵头整合修订标准DB36/T 1263-2020《颠茄育苗技术规程》和DB36/T 1262-2020《颠茄规范化生产技术规程》。由丁伟负责标准修订方案的制定、执笔修订等工作，黄文超、李婷、陈银霞、杨燕欢、黄丽莉、朱灵芝、龚斌、朱培林和郜杰等为项目组主要成员，在项目实施过程中，承担技术总体方案的具体实施工作。项目组成员信息如下：</w:t>
      </w:r>
    </w:p>
    <w:tbl>
      <w:tblPr>
        <w:tblStyle w:val="10"/>
        <w:tblW w:w="9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598"/>
        <w:gridCol w:w="2390"/>
        <w:gridCol w:w="2392"/>
        <w:gridCol w:w="1509"/>
      </w:tblGrid>
      <w:tr w14:paraId="5CE8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276" w:type="dxa"/>
            <w:tcMar>
              <w:left w:w="85" w:type="dxa"/>
              <w:right w:w="85" w:type="dxa"/>
            </w:tcMar>
            <w:vAlign w:val="center"/>
          </w:tcPr>
          <w:p w14:paraId="79158623">
            <w:pPr>
              <w:autoSpaceDE/>
              <w:autoSpaceDN/>
              <w:jc w:val="center"/>
              <w:rPr>
                <w:rFonts w:ascii="仿宋_GB2312" w:hAnsi="Times New Roman" w:eastAsia="仿宋_GB2312" w:cs="Times New Roman"/>
                <w:kern w:val="2"/>
                <w:sz w:val="21"/>
                <w:szCs w:val="21"/>
              </w:rPr>
            </w:pPr>
            <w:r>
              <w:rPr>
                <w:rFonts w:ascii="仿宋_GB2312" w:hAnsi="Times New Roman" w:eastAsia="仿宋_GB2312" w:cs="Times New Roman"/>
                <w:kern w:val="2"/>
                <w:sz w:val="21"/>
                <w:szCs w:val="21"/>
              </w:rPr>
              <w:t>姓  名</w:t>
            </w:r>
          </w:p>
        </w:tc>
        <w:tc>
          <w:tcPr>
            <w:tcW w:w="1598" w:type="dxa"/>
            <w:tcMar>
              <w:left w:w="85" w:type="dxa"/>
              <w:right w:w="85" w:type="dxa"/>
            </w:tcMar>
            <w:vAlign w:val="center"/>
          </w:tcPr>
          <w:p w14:paraId="49C7E413">
            <w:pPr>
              <w:autoSpaceDE/>
              <w:autoSpaceDN/>
              <w:jc w:val="center"/>
              <w:rPr>
                <w:rFonts w:ascii="仿宋_GB2312" w:hAnsi="Times New Roman" w:eastAsia="仿宋_GB2312" w:cs="Times New Roman"/>
                <w:kern w:val="2"/>
                <w:sz w:val="21"/>
                <w:szCs w:val="21"/>
              </w:rPr>
            </w:pPr>
            <w:r>
              <w:rPr>
                <w:rFonts w:ascii="仿宋_GB2312" w:hAnsi="Times New Roman" w:eastAsia="仿宋_GB2312" w:cs="Times New Roman"/>
                <w:kern w:val="2"/>
                <w:sz w:val="21"/>
                <w:szCs w:val="21"/>
              </w:rPr>
              <w:t>职务（职称）</w:t>
            </w:r>
          </w:p>
        </w:tc>
        <w:tc>
          <w:tcPr>
            <w:tcW w:w="2390" w:type="dxa"/>
            <w:tcMar>
              <w:left w:w="85" w:type="dxa"/>
              <w:right w:w="85" w:type="dxa"/>
            </w:tcMar>
            <w:vAlign w:val="center"/>
          </w:tcPr>
          <w:p w14:paraId="14859462">
            <w:pPr>
              <w:autoSpaceDE/>
              <w:autoSpaceDN/>
              <w:jc w:val="center"/>
              <w:rPr>
                <w:rFonts w:ascii="仿宋_GB2312" w:hAnsi="Times New Roman" w:eastAsia="仿宋_GB2312" w:cs="Times New Roman"/>
                <w:kern w:val="2"/>
                <w:sz w:val="21"/>
                <w:szCs w:val="21"/>
              </w:rPr>
            </w:pPr>
            <w:r>
              <w:rPr>
                <w:rFonts w:ascii="仿宋_GB2312" w:hAnsi="Times New Roman" w:eastAsia="仿宋_GB2312" w:cs="Times New Roman"/>
                <w:kern w:val="2"/>
                <w:sz w:val="21"/>
                <w:szCs w:val="21"/>
              </w:rPr>
              <w:t>单       位</w:t>
            </w:r>
          </w:p>
        </w:tc>
        <w:tc>
          <w:tcPr>
            <w:tcW w:w="2392" w:type="dxa"/>
            <w:vAlign w:val="center"/>
          </w:tcPr>
          <w:p w14:paraId="639A2128">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任务分工</w:t>
            </w:r>
          </w:p>
        </w:tc>
        <w:tc>
          <w:tcPr>
            <w:tcW w:w="1509" w:type="dxa"/>
            <w:tcMar>
              <w:left w:w="85" w:type="dxa"/>
              <w:right w:w="85" w:type="dxa"/>
            </w:tcMar>
            <w:vAlign w:val="center"/>
          </w:tcPr>
          <w:p w14:paraId="2AF6E628">
            <w:pPr>
              <w:autoSpaceDE/>
              <w:autoSpaceDN/>
              <w:jc w:val="center"/>
              <w:rPr>
                <w:rFonts w:ascii="仿宋_GB2312" w:hAnsi="Times New Roman" w:eastAsia="仿宋_GB2312" w:cs="Times New Roman"/>
                <w:kern w:val="2"/>
                <w:sz w:val="21"/>
                <w:szCs w:val="21"/>
              </w:rPr>
            </w:pPr>
            <w:r>
              <w:rPr>
                <w:rFonts w:ascii="仿宋_GB2312" w:hAnsi="Times New Roman" w:eastAsia="仿宋_GB2312" w:cs="Times New Roman"/>
                <w:kern w:val="2"/>
                <w:sz w:val="21"/>
                <w:szCs w:val="21"/>
              </w:rPr>
              <w:t>电   话</w:t>
            </w:r>
          </w:p>
        </w:tc>
      </w:tr>
      <w:tr w14:paraId="203F4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76" w:type="dxa"/>
            <w:tcMar>
              <w:left w:w="85" w:type="dxa"/>
              <w:right w:w="85" w:type="dxa"/>
            </w:tcMar>
            <w:vAlign w:val="center"/>
          </w:tcPr>
          <w:p w14:paraId="57A6DEF9">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丁  伟</w:t>
            </w:r>
          </w:p>
        </w:tc>
        <w:tc>
          <w:tcPr>
            <w:tcW w:w="1598" w:type="dxa"/>
            <w:tcMar>
              <w:left w:w="85" w:type="dxa"/>
              <w:right w:w="85" w:type="dxa"/>
            </w:tcMar>
            <w:vAlign w:val="center"/>
          </w:tcPr>
          <w:p w14:paraId="37C4CBE0">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助理研究员</w:t>
            </w:r>
          </w:p>
        </w:tc>
        <w:tc>
          <w:tcPr>
            <w:tcW w:w="2390" w:type="dxa"/>
            <w:tcMar>
              <w:left w:w="85" w:type="dxa"/>
              <w:right w:w="85" w:type="dxa"/>
            </w:tcMar>
            <w:vAlign w:val="center"/>
          </w:tcPr>
          <w:p w14:paraId="13CE2CEA">
            <w:pPr>
              <w:autoSpaceDE/>
              <w:autoSpaceDN/>
              <w:jc w:val="center"/>
              <w:rPr>
                <w:rFonts w:ascii="仿宋_GB2312" w:hAnsi="Times New Roman" w:eastAsia="仿宋_GB2312" w:cs="Times New Roman"/>
                <w:kern w:val="2"/>
                <w:sz w:val="21"/>
                <w:szCs w:val="21"/>
              </w:rPr>
            </w:pPr>
            <w:r>
              <w:rPr>
                <w:rFonts w:ascii="仿宋_GB2312" w:hAnsi="Times New Roman" w:eastAsia="仿宋_GB2312" w:cs="Times New Roman"/>
                <w:kern w:val="2"/>
                <w:sz w:val="21"/>
                <w:szCs w:val="21"/>
              </w:rPr>
              <w:t>江西省林业科学院</w:t>
            </w:r>
          </w:p>
        </w:tc>
        <w:tc>
          <w:tcPr>
            <w:tcW w:w="2392" w:type="dxa"/>
            <w:vAlign w:val="center"/>
          </w:tcPr>
          <w:p w14:paraId="679DCCFF">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统筹协调/标准制定</w:t>
            </w:r>
          </w:p>
        </w:tc>
        <w:tc>
          <w:tcPr>
            <w:tcW w:w="1509" w:type="dxa"/>
            <w:tcMar>
              <w:left w:w="85" w:type="dxa"/>
              <w:right w:w="85" w:type="dxa"/>
            </w:tcMar>
            <w:vAlign w:val="center"/>
          </w:tcPr>
          <w:p w14:paraId="2BCE311F">
            <w:pPr>
              <w:autoSpaceDE/>
              <w:autoSpaceDN/>
              <w:jc w:val="center"/>
              <w:rPr>
                <w:rFonts w:ascii="仿宋_GB2312" w:hAnsi="Times New Roman" w:eastAsia="仿宋_GB2312" w:cs="Times New Roman"/>
                <w:kern w:val="2"/>
                <w:sz w:val="21"/>
                <w:szCs w:val="21"/>
              </w:rPr>
            </w:pPr>
            <w:r>
              <w:rPr>
                <w:rFonts w:ascii="仿宋_GB2312" w:hAnsi="Times New Roman" w:eastAsia="仿宋_GB2312" w:cs="Times New Roman"/>
                <w:kern w:val="2"/>
                <w:sz w:val="21"/>
                <w:szCs w:val="21"/>
              </w:rPr>
              <w:t>1</w:t>
            </w:r>
            <w:r>
              <w:rPr>
                <w:rFonts w:hint="eastAsia" w:ascii="仿宋_GB2312" w:hAnsi="Times New Roman" w:eastAsia="仿宋_GB2312" w:cs="Times New Roman"/>
                <w:kern w:val="2"/>
                <w:sz w:val="21"/>
                <w:szCs w:val="21"/>
              </w:rPr>
              <w:t>8170820973</w:t>
            </w:r>
          </w:p>
        </w:tc>
      </w:tr>
      <w:tr w14:paraId="74A5C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76" w:type="dxa"/>
            <w:tcMar>
              <w:left w:w="85" w:type="dxa"/>
              <w:right w:w="85" w:type="dxa"/>
            </w:tcMar>
            <w:vAlign w:val="center"/>
          </w:tcPr>
          <w:p w14:paraId="379F2FE3">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黄文超</w:t>
            </w:r>
          </w:p>
        </w:tc>
        <w:tc>
          <w:tcPr>
            <w:tcW w:w="1598" w:type="dxa"/>
            <w:tcMar>
              <w:left w:w="85" w:type="dxa"/>
              <w:right w:w="85" w:type="dxa"/>
            </w:tcMar>
            <w:vAlign w:val="center"/>
          </w:tcPr>
          <w:p w14:paraId="70FCD68D">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高级工程师</w:t>
            </w:r>
          </w:p>
        </w:tc>
        <w:tc>
          <w:tcPr>
            <w:tcW w:w="2390" w:type="dxa"/>
            <w:tcMar>
              <w:left w:w="85" w:type="dxa"/>
              <w:right w:w="85" w:type="dxa"/>
            </w:tcMar>
            <w:vAlign w:val="center"/>
          </w:tcPr>
          <w:p w14:paraId="2EBFDD2E">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江西省林业科学院</w:t>
            </w:r>
          </w:p>
        </w:tc>
        <w:tc>
          <w:tcPr>
            <w:tcW w:w="2392" w:type="dxa"/>
            <w:vAlign w:val="center"/>
          </w:tcPr>
          <w:p w14:paraId="1194EE3A">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测试分析/资料复核</w:t>
            </w:r>
          </w:p>
        </w:tc>
        <w:tc>
          <w:tcPr>
            <w:tcW w:w="1509" w:type="dxa"/>
            <w:tcMar>
              <w:left w:w="85" w:type="dxa"/>
              <w:right w:w="85" w:type="dxa"/>
            </w:tcMar>
            <w:vAlign w:val="center"/>
          </w:tcPr>
          <w:p w14:paraId="1983E99C">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13907009515</w:t>
            </w:r>
          </w:p>
        </w:tc>
      </w:tr>
      <w:tr w14:paraId="50C5A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76" w:type="dxa"/>
            <w:tcMar>
              <w:left w:w="85" w:type="dxa"/>
              <w:right w:w="85" w:type="dxa"/>
            </w:tcMar>
            <w:vAlign w:val="center"/>
          </w:tcPr>
          <w:p w14:paraId="1671A4D2">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李婷</w:t>
            </w:r>
          </w:p>
        </w:tc>
        <w:tc>
          <w:tcPr>
            <w:tcW w:w="1598" w:type="dxa"/>
            <w:tcMar>
              <w:left w:w="85" w:type="dxa"/>
              <w:right w:w="85" w:type="dxa"/>
            </w:tcMar>
            <w:vAlign w:val="center"/>
          </w:tcPr>
          <w:p w14:paraId="20CCD93E">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助理研究员</w:t>
            </w:r>
          </w:p>
        </w:tc>
        <w:tc>
          <w:tcPr>
            <w:tcW w:w="2390" w:type="dxa"/>
            <w:tcMar>
              <w:left w:w="85" w:type="dxa"/>
              <w:right w:w="85" w:type="dxa"/>
            </w:tcMar>
            <w:vAlign w:val="center"/>
          </w:tcPr>
          <w:p w14:paraId="6DB6E7E7">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江西省林业科学院</w:t>
            </w:r>
          </w:p>
        </w:tc>
        <w:tc>
          <w:tcPr>
            <w:tcW w:w="2392" w:type="dxa"/>
            <w:vAlign w:val="center"/>
          </w:tcPr>
          <w:p w14:paraId="1CEB7498">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统计分析</w:t>
            </w:r>
          </w:p>
        </w:tc>
        <w:tc>
          <w:tcPr>
            <w:tcW w:w="1509" w:type="dxa"/>
            <w:tcMar>
              <w:left w:w="85" w:type="dxa"/>
              <w:right w:w="85" w:type="dxa"/>
            </w:tcMar>
            <w:vAlign w:val="center"/>
          </w:tcPr>
          <w:p w14:paraId="0FE49F72">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13027203528</w:t>
            </w:r>
          </w:p>
        </w:tc>
      </w:tr>
      <w:tr w14:paraId="7E46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76" w:type="dxa"/>
            <w:tcMar>
              <w:left w:w="85" w:type="dxa"/>
              <w:right w:w="85" w:type="dxa"/>
            </w:tcMar>
            <w:vAlign w:val="center"/>
          </w:tcPr>
          <w:p w14:paraId="490CB38A">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陈银霞</w:t>
            </w:r>
          </w:p>
        </w:tc>
        <w:tc>
          <w:tcPr>
            <w:tcW w:w="1598" w:type="dxa"/>
            <w:tcMar>
              <w:left w:w="85" w:type="dxa"/>
              <w:right w:w="85" w:type="dxa"/>
            </w:tcMar>
            <w:vAlign w:val="center"/>
          </w:tcPr>
          <w:p w14:paraId="0750871C">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高级工程师</w:t>
            </w:r>
          </w:p>
        </w:tc>
        <w:tc>
          <w:tcPr>
            <w:tcW w:w="2390" w:type="dxa"/>
            <w:tcMar>
              <w:left w:w="85" w:type="dxa"/>
              <w:right w:w="85" w:type="dxa"/>
            </w:tcMar>
            <w:vAlign w:val="center"/>
          </w:tcPr>
          <w:p w14:paraId="375BE5B5">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江西省林业局推广宣教中心</w:t>
            </w:r>
          </w:p>
        </w:tc>
        <w:tc>
          <w:tcPr>
            <w:tcW w:w="2392" w:type="dxa"/>
            <w:vAlign w:val="center"/>
          </w:tcPr>
          <w:p w14:paraId="5B8834DB">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资料复核</w:t>
            </w:r>
          </w:p>
        </w:tc>
        <w:tc>
          <w:tcPr>
            <w:tcW w:w="1509" w:type="dxa"/>
            <w:tcMar>
              <w:left w:w="85" w:type="dxa"/>
              <w:right w:w="85" w:type="dxa"/>
            </w:tcMar>
            <w:vAlign w:val="center"/>
          </w:tcPr>
          <w:p w14:paraId="1360A92D">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13607046601</w:t>
            </w:r>
          </w:p>
        </w:tc>
      </w:tr>
      <w:tr w14:paraId="430C2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76" w:type="dxa"/>
            <w:tcMar>
              <w:left w:w="85" w:type="dxa"/>
              <w:right w:w="85" w:type="dxa"/>
            </w:tcMar>
            <w:vAlign w:val="center"/>
          </w:tcPr>
          <w:p w14:paraId="003BBC5A">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杨燕欢</w:t>
            </w:r>
          </w:p>
        </w:tc>
        <w:tc>
          <w:tcPr>
            <w:tcW w:w="1598" w:type="dxa"/>
            <w:tcMar>
              <w:left w:w="85" w:type="dxa"/>
              <w:right w:w="85" w:type="dxa"/>
            </w:tcMar>
            <w:vAlign w:val="center"/>
          </w:tcPr>
          <w:p w14:paraId="0EB57E6C">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副总经理</w:t>
            </w:r>
          </w:p>
        </w:tc>
        <w:tc>
          <w:tcPr>
            <w:tcW w:w="2390" w:type="dxa"/>
            <w:tcMar>
              <w:left w:w="85" w:type="dxa"/>
              <w:right w:w="85" w:type="dxa"/>
            </w:tcMar>
            <w:vAlign w:val="center"/>
          </w:tcPr>
          <w:p w14:paraId="63BFB1C7">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石药集团江西金芙蓉药业股份有限公司</w:t>
            </w:r>
          </w:p>
        </w:tc>
        <w:tc>
          <w:tcPr>
            <w:tcW w:w="2392" w:type="dxa"/>
          </w:tcPr>
          <w:p w14:paraId="4C13FE82">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检测分析/资料复核</w:t>
            </w:r>
          </w:p>
        </w:tc>
        <w:tc>
          <w:tcPr>
            <w:tcW w:w="1509" w:type="dxa"/>
            <w:tcMar>
              <w:left w:w="85" w:type="dxa"/>
              <w:right w:w="85" w:type="dxa"/>
            </w:tcMar>
            <w:vAlign w:val="center"/>
          </w:tcPr>
          <w:p w14:paraId="36179DC4">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13755297168</w:t>
            </w:r>
          </w:p>
        </w:tc>
      </w:tr>
      <w:tr w14:paraId="626E7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76" w:type="dxa"/>
            <w:tcMar>
              <w:left w:w="85" w:type="dxa"/>
              <w:right w:w="85" w:type="dxa"/>
            </w:tcMar>
            <w:vAlign w:val="center"/>
          </w:tcPr>
          <w:p w14:paraId="446EBE49">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黄丽莉</w:t>
            </w:r>
          </w:p>
        </w:tc>
        <w:tc>
          <w:tcPr>
            <w:tcW w:w="1598" w:type="dxa"/>
            <w:tcMar>
              <w:left w:w="85" w:type="dxa"/>
              <w:right w:w="85" w:type="dxa"/>
            </w:tcMar>
            <w:vAlign w:val="center"/>
          </w:tcPr>
          <w:p w14:paraId="6786D23B">
            <w:pPr>
              <w:autoSpaceDE/>
              <w:autoSpaceDN/>
              <w:jc w:val="center"/>
              <w:rPr>
                <w:rFonts w:ascii="仿宋_GB2312" w:hAnsi="Times New Roman" w:eastAsia="仿宋_GB2312" w:cs="Times New Roman"/>
                <w:kern w:val="2"/>
                <w:sz w:val="21"/>
                <w:szCs w:val="21"/>
              </w:rPr>
            </w:pPr>
            <w:r>
              <w:rPr>
                <w:rFonts w:ascii="仿宋_GB2312" w:hAnsi="Times New Roman" w:eastAsia="仿宋_GB2312" w:cs="Times New Roman"/>
                <w:kern w:val="2"/>
                <w:sz w:val="21"/>
                <w:szCs w:val="21"/>
              </w:rPr>
              <w:t>教授级高工</w:t>
            </w:r>
          </w:p>
        </w:tc>
        <w:tc>
          <w:tcPr>
            <w:tcW w:w="2390" w:type="dxa"/>
            <w:tcMar>
              <w:left w:w="85" w:type="dxa"/>
              <w:right w:w="85" w:type="dxa"/>
            </w:tcMar>
            <w:vAlign w:val="center"/>
          </w:tcPr>
          <w:p w14:paraId="3A3C07DC">
            <w:pPr>
              <w:autoSpaceDE/>
              <w:autoSpaceDN/>
              <w:jc w:val="center"/>
              <w:rPr>
                <w:rFonts w:ascii="仿宋_GB2312" w:hAnsi="Times New Roman" w:eastAsia="仿宋_GB2312" w:cs="Times New Roman"/>
                <w:kern w:val="2"/>
                <w:sz w:val="21"/>
                <w:szCs w:val="21"/>
              </w:rPr>
            </w:pPr>
            <w:r>
              <w:rPr>
                <w:rFonts w:ascii="仿宋_GB2312" w:hAnsi="Times New Roman" w:eastAsia="仿宋_GB2312" w:cs="Times New Roman"/>
                <w:kern w:val="2"/>
                <w:sz w:val="21"/>
                <w:szCs w:val="21"/>
              </w:rPr>
              <w:t>江西省林业科学院</w:t>
            </w:r>
          </w:p>
        </w:tc>
        <w:tc>
          <w:tcPr>
            <w:tcW w:w="2392" w:type="dxa"/>
            <w:vAlign w:val="center"/>
          </w:tcPr>
          <w:p w14:paraId="2C066860">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测试分析/资料复核</w:t>
            </w:r>
          </w:p>
        </w:tc>
        <w:tc>
          <w:tcPr>
            <w:tcW w:w="1509" w:type="dxa"/>
            <w:tcMar>
              <w:left w:w="85" w:type="dxa"/>
              <w:right w:w="85" w:type="dxa"/>
            </w:tcMar>
            <w:vAlign w:val="center"/>
          </w:tcPr>
          <w:p w14:paraId="0CDF0278">
            <w:pPr>
              <w:autoSpaceDE/>
              <w:autoSpaceDN/>
              <w:jc w:val="center"/>
              <w:rPr>
                <w:rFonts w:ascii="仿宋_GB2312" w:hAnsi="Times New Roman" w:eastAsia="仿宋_GB2312" w:cs="Times New Roman"/>
                <w:kern w:val="2"/>
                <w:sz w:val="21"/>
                <w:szCs w:val="21"/>
              </w:rPr>
            </w:pPr>
            <w:r>
              <w:rPr>
                <w:rFonts w:ascii="仿宋_GB2312" w:hAnsi="Times New Roman" w:eastAsia="仿宋_GB2312" w:cs="Times New Roman"/>
                <w:kern w:val="2"/>
                <w:sz w:val="21"/>
                <w:szCs w:val="21"/>
              </w:rPr>
              <w:t>13707089569</w:t>
            </w:r>
          </w:p>
        </w:tc>
      </w:tr>
      <w:tr w14:paraId="1959C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76" w:type="dxa"/>
            <w:tcMar>
              <w:left w:w="85" w:type="dxa"/>
              <w:right w:w="85" w:type="dxa"/>
            </w:tcMar>
            <w:vAlign w:val="center"/>
          </w:tcPr>
          <w:p w14:paraId="42B2F2D6">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朱灵芝</w:t>
            </w:r>
          </w:p>
        </w:tc>
        <w:tc>
          <w:tcPr>
            <w:tcW w:w="1598" w:type="dxa"/>
            <w:tcMar>
              <w:left w:w="85" w:type="dxa"/>
              <w:right w:w="85" w:type="dxa"/>
            </w:tcMar>
            <w:vAlign w:val="center"/>
          </w:tcPr>
          <w:p w14:paraId="661AE517">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研究实习员</w:t>
            </w:r>
          </w:p>
        </w:tc>
        <w:tc>
          <w:tcPr>
            <w:tcW w:w="2390" w:type="dxa"/>
            <w:tcMar>
              <w:left w:w="85" w:type="dxa"/>
              <w:right w:w="85" w:type="dxa"/>
            </w:tcMar>
            <w:vAlign w:val="center"/>
          </w:tcPr>
          <w:p w14:paraId="30D38C08">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江西省林业科学院</w:t>
            </w:r>
          </w:p>
        </w:tc>
        <w:tc>
          <w:tcPr>
            <w:tcW w:w="2392" w:type="dxa"/>
            <w:vAlign w:val="center"/>
          </w:tcPr>
          <w:p w14:paraId="3EAFDF3B">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检测分析/资料复核</w:t>
            </w:r>
          </w:p>
        </w:tc>
        <w:tc>
          <w:tcPr>
            <w:tcW w:w="1509" w:type="dxa"/>
            <w:tcMar>
              <w:left w:w="85" w:type="dxa"/>
              <w:right w:w="85" w:type="dxa"/>
            </w:tcMar>
            <w:vAlign w:val="center"/>
          </w:tcPr>
          <w:p w14:paraId="7C13A97B">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18770294326</w:t>
            </w:r>
          </w:p>
        </w:tc>
      </w:tr>
      <w:tr w14:paraId="4D2A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76" w:type="dxa"/>
            <w:tcMar>
              <w:left w:w="85" w:type="dxa"/>
              <w:right w:w="85" w:type="dxa"/>
            </w:tcMar>
            <w:vAlign w:val="center"/>
          </w:tcPr>
          <w:p w14:paraId="240335BB">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龚斌</w:t>
            </w:r>
          </w:p>
        </w:tc>
        <w:tc>
          <w:tcPr>
            <w:tcW w:w="1598" w:type="dxa"/>
            <w:tcMar>
              <w:left w:w="85" w:type="dxa"/>
              <w:right w:w="85" w:type="dxa"/>
            </w:tcMar>
            <w:vAlign w:val="center"/>
          </w:tcPr>
          <w:p w14:paraId="2A311383">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教授级高工</w:t>
            </w:r>
          </w:p>
        </w:tc>
        <w:tc>
          <w:tcPr>
            <w:tcW w:w="2390" w:type="dxa"/>
            <w:tcMar>
              <w:left w:w="85" w:type="dxa"/>
              <w:right w:w="85" w:type="dxa"/>
            </w:tcMar>
            <w:vAlign w:val="center"/>
          </w:tcPr>
          <w:p w14:paraId="37C6547E">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江西省林业科学院</w:t>
            </w:r>
          </w:p>
        </w:tc>
        <w:tc>
          <w:tcPr>
            <w:tcW w:w="2392" w:type="dxa"/>
            <w:vAlign w:val="center"/>
          </w:tcPr>
          <w:p w14:paraId="4EA43FB0">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检测分析/资料复核</w:t>
            </w:r>
          </w:p>
        </w:tc>
        <w:tc>
          <w:tcPr>
            <w:tcW w:w="1509" w:type="dxa"/>
            <w:tcMar>
              <w:left w:w="85" w:type="dxa"/>
              <w:right w:w="85" w:type="dxa"/>
            </w:tcMar>
            <w:vAlign w:val="center"/>
          </w:tcPr>
          <w:p w14:paraId="0E2C1B95">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18070090393</w:t>
            </w:r>
          </w:p>
        </w:tc>
      </w:tr>
      <w:tr w14:paraId="203B8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76" w:type="dxa"/>
            <w:tcMar>
              <w:left w:w="85" w:type="dxa"/>
              <w:right w:w="85" w:type="dxa"/>
            </w:tcMar>
            <w:vAlign w:val="center"/>
          </w:tcPr>
          <w:p w14:paraId="7EC871DE">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朱培林</w:t>
            </w:r>
          </w:p>
        </w:tc>
        <w:tc>
          <w:tcPr>
            <w:tcW w:w="1598" w:type="dxa"/>
            <w:tcMar>
              <w:left w:w="85" w:type="dxa"/>
              <w:right w:w="85" w:type="dxa"/>
            </w:tcMar>
            <w:vAlign w:val="center"/>
          </w:tcPr>
          <w:p w14:paraId="6AC5403E">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研究员</w:t>
            </w:r>
          </w:p>
        </w:tc>
        <w:tc>
          <w:tcPr>
            <w:tcW w:w="2390" w:type="dxa"/>
            <w:tcMar>
              <w:left w:w="85" w:type="dxa"/>
              <w:right w:w="85" w:type="dxa"/>
            </w:tcMar>
            <w:vAlign w:val="center"/>
          </w:tcPr>
          <w:p w14:paraId="2C3E6843">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江西省林业科学院</w:t>
            </w:r>
          </w:p>
        </w:tc>
        <w:tc>
          <w:tcPr>
            <w:tcW w:w="2392" w:type="dxa"/>
            <w:vAlign w:val="center"/>
          </w:tcPr>
          <w:p w14:paraId="71328ECE">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标准制定</w:t>
            </w:r>
          </w:p>
        </w:tc>
        <w:tc>
          <w:tcPr>
            <w:tcW w:w="1509" w:type="dxa"/>
            <w:tcMar>
              <w:left w:w="85" w:type="dxa"/>
              <w:right w:w="85" w:type="dxa"/>
            </w:tcMar>
            <w:vAlign w:val="center"/>
          </w:tcPr>
          <w:p w14:paraId="3B9D6514">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15679198587</w:t>
            </w:r>
          </w:p>
        </w:tc>
      </w:tr>
      <w:tr w14:paraId="7617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76" w:type="dxa"/>
            <w:tcMar>
              <w:left w:w="85" w:type="dxa"/>
              <w:right w:w="85" w:type="dxa"/>
            </w:tcMar>
            <w:vAlign w:val="center"/>
          </w:tcPr>
          <w:p w14:paraId="27C378C2">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郜杰</w:t>
            </w:r>
          </w:p>
        </w:tc>
        <w:tc>
          <w:tcPr>
            <w:tcW w:w="1598" w:type="dxa"/>
            <w:tcMar>
              <w:left w:w="85" w:type="dxa"/>
              <w:right w:w="85" w:type="dxa"/>
            </w:tcMar>
            <w:vAlign w:val="center"/>
          </w:tcPr>
          <w:p w14:paraId="10FC6D64">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总经理</w:t>
            </w:r>
          </w:p>
        </w:tc>
        <w:tc>
          <w:tcPr>
            <w:tcW w:w="2390" w:type="dxa"/>
            <w:tcMar>
              <w:left w:w="85" w:type="dxa"/>
              <w:right w:w="85" w:type="dxa"/>
            </w:tcMar>
            <w:vAlign w:val="center"/>
          </w:tcPr>
          <w:p w14:paraId="3EFD50AC">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石药集团江西金芙蓉药业股份有限公司</w:t>
            </w:r>
          </w:p>
        </w:tc>
        <w:tc>
          <w:tcPr>
            <w:tcW w:w="2392" w:type="dxa"/>
          </w:tcPr>
          <w:p w14:paraId="170CAAEE">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检测分析/资料复核</w:t>
            </w:r>
          </w:p>
        </w:tc>
        <w:tc>
          <w:tcPr>
            <w:tcW w:w="1509" w:type="dxa"/>
            <w:tcMar>
              <w:left w:w="85" w:type="dxa"/>
              <w:right w:w="85" w:type="dxa"/>
            </w:tcMar>
            <w:vAlign w:val="center"/>
          </w:tcPr>
          <w:p w14:paraId="5C063B22">
            <w:pPr>
              <w:autoSpaceDE/>
              <w:autoSpaceDN/>
              <w:jc w:val="center"/>
              <w:rPr>
                <w:rFonts w:ascii="仿宋_GB2312" w:hAnsi="Times New Roman" w:eastAsia="仿宋_GB2312" w:cs="Times New Roman"/>
                <w:kern w:val="2"/>
                <w:sz w:val="21"/>
                <w:szCs w:val="21"/>
              </w:rPr>
            </w:pPr>
            <w:r>
              <w:rPr>
                <w:rFonts w:hint="eastAsia" w:ascii="仿宋_GB2312" w:hAnsi="Times New Roman" w:eastAsia="仿宋_GB2312" w:cs="Times New Roman"/>
                <w:kern w:val="2"/>
                <w:sz w:val="21"/>
                <w:szCs w:val="21"/>
              </w:rPr>
              <w:t>13361720566</w:t>
            </w:r>
          </w:p>
        </w:tc>
      </w:tr>
    </w:tbl>
    <w:p w14:paraId="2A39BF8C">
      <w:pPr>
        <w:pStyle w:val="5"/>
        <w:spacing w:before="2"/>
        <w:ind w:left="119"/>
        <w:rPr>
          <w:rFonts w:hint="eastAsia"/>
        </w:rPr>
      </w:pPr>
    </w:p>
    <w:p w14:paraId="2A39BF8D">
      <w:pPr>
        <w:numPr>
          <w:ilvl w:val="0"/>
          <w:numId w:val="2"/>
        </w:numPr>
        <w:autoSpaceDE/>
        <w:autoSpaceDN/>
        <w:ind w:firstLine="640" w:firstLineChars="200"/>
        <w:jc w:val="both"/>
        <w:outlineLvl w:val="0"/>
        <w:rPr>
          <w:rFonts w:ascii="黑体" w:hAnsi="Times New Roman" w:eastAsia="黑体" w:cs="Times New Roman"/>
          <w:kern w:val="2"/>
          <w:sz w:val="32"/>
          <w:szCs w:val="32"/>
        </w:rPr>
      </w:pPr>
      <w:r>
        <w:rPr>
          <w:rFonts w:hint="eastAsia" w:ascii="黑体" w:hAnsi="Times New Roman" w:eastAsia="黑体" w:cs="Times New Roman"/>
          <w:kern w:val="2"/>
          <w:sz w:val="32"/>
          <w:szCs w:val="32"/>
        </w:rPr>
        <w:t>修订标准的必要性和意义</w:t>
      </w:r>
    </w:p>
    <w:p w14:paraId="2A39BF8E">
      <w:pPr>
        <w:autoSpaceDE/>
        <w:autoSpaceDN/>
        <w:spacing w:line="360" w:lineRule="auto"/>
        <w:ind w:firstLine="480"/>
        <w:jc w:val="both"/>
        <w:outlineLvl w:val="1"/>
        <w:rPr>
          <w:rFonts w:hint="eastAsia" w:cs="Times New Roman"/>
          <w:b/>
          <w:kern w:val="2"/>
          <w:sz w:val="28"/>
          <w:szCs w:val="28"/>
        </w:rPr>
      </w:pPr>
      <w:r>
        <w:rPr>
          <w:rFonts w:cs="Times New Roman"/>
          <w:b/>
          <w:kern w:val="2"/>
          <w:sz w:val="28"/>
          <w:szCs w:val="28"/>
        </w:rPr>
        <w:t>1、项目前期研究成果和技术基础</w:t>
      </w:r>
    </w:p>
    <w:p w14:paraId="36829515">
      <w:pPr>
        <w:pStyle w:val="5"/>
        <w:spacing w:before="122" w:line="312" w:lineRule="auto"/>
        <w:ind w:right="234" w:firstLine="560" w:firstLineChars="20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颠茄草药材来源为茄科植物颠茄（Atropa belladonna L.）的干燥全草，抗胆碱药物，该药材天然提取的颠茄制剂是中成药斯达舒、胃舒平、胃康灵等的主要原料之一，有显著临床药用价值和巨大市场需求。在江西彭泽等地正迅速扩大人工栽培生产，但药材质量参差不齐，迫切需要规范发展。</w:t>
      </w:r>
    </w:p>
    <w:p w14:paraId="4A9E1321">
      <w:pPr>
        <w:pStyle w:val="5"/>
        <w:spacing w:before="122" w:line="312" w:lineRule="auto"/>
        <w:ind w:right="234" w:firstLine="560" w:firstLineChars="20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近年来江西省林业科学院和江西省标准化研究院联合国内颠茄流浸膏生产的龙头企业之一石药集团江西金芙蓉药业股份有限公司，对中药材颠茄草规范化种植进行系统研究和推广示范，依据标准编制单位多年研究成果，结合总结生产实践经验，参考《中华人民共和国药典》（2020版一部）的有关规定、外经贸部颁布的《药用植物及制剂进出口绿色行业标准》及有关研究文献资料，参考2022年3月国家药品监督管理局等6部委新颁布的《中药材生产质量管理规范》要求，规定了从种植环境、栽植、田间管理、主要病虫害防治、采收与加工等技术方法，并实现了颠茄草药材高品质高产量。同时，也是全国首个颠茄草种植相关技术规程。</w:t>
      </w:r>
    </w:p>
    <w:p w14:paraId="2A39BF90">
      <w:pPr>
        <w:pStyle w:val="5"/>
        <w:spacing w:before="122" w:line="312" w:lineRule="auto"/>
        <w:ind w:left="0" w:right="234" w:firstLine="560" w:firstLineChars="200"/>
        <w:jc w:val="both"/>
        <w:rPr>
          <w:rFonts w:ascii="Times New Roman" w:hAnsi="Times New Roman" w:cs="Times New Roman"/>
          <w:kern w:val="2"/>
          <w:sz w:val="28"/>
          <w:szCs w:val="28"/>
        </w:rPr>
      </w:pPr>
      <w:r>
        <w:rPr>
          <w:rFonts w:hint="eastAsia" w:ascii="Times New Roman" w:hAnsi="Times New Roman" w:cs="Times New Roman"/>
          <w:kern w:val="2"/>
          <w:sz w:val="28"/>
          <w:szCs w:val="28"/>
        </w:rPr>
        <w:t>通过标准制订，对指导江西省颠茄草等药材生产标准化，提升森林药材产业技术水平，保障药材质量和提高农民收入有积极的意义。</w:t>
      </w:r>
    </w:p>
    <w:p w14:paraId="2A39BF91">
      <w:pPr>
        <w:autoSpaceDE/>
        <w:autoSpaceDN/>
        <w:spacing w:line="360" w:lineRule="auto"/>
        <w:ind w:firstLine="480"/>
        <w:jc w:val="both"/>
        <w:outlineLvl w:val="1"/>
        <w:rPr>
          <w:rFonts w:hint="eastAsia" w:cs="Times New Roman"/>
          <w:b/>
          <w:kern w:val="2"/>
          <w:sz w:val="28"/>
          <w:szCs w:val="28"/>
        </w:rPr>
      </w:pPr>
      <w:r>
        <w:rPr>
          <w:rFonts w:cs="Times New Roman"/>
          <w:b/>
          <w:kern w:val="2"/>
          <w:sz w:val="28"/>
          <w:szCs w:val="28"/>
        </w:rPr>
        <w:t>2、标准</w:t>
      </w:r>
      <w:r>
        <w:rPr>
          <w:rFonts w:hint="eastAsia" w:cs="Times New Roman"/>
          <w:b/>
          <w:kern w:val="2"/>
          <w:sz w:val="28"/>
          <w:szCs w:val="28"/>
        </w:rPr>
        <w:t>修订</w:t>
      </w:r>
      <w:r>
        <w:rPr>
          <w:rFonts w:cs="Times New Roman"/>
          <w:b/>
          <w:kern w:val="2"/>
          <w:sz w:val="28"/>
          <w:szCs w:val="28"/>
        </w:rPr>
        <w:t>的意义</w:t>
      </w:r>
    </w:p>
    <w:p w14:paraId="2A39BF93">
      <w:pPr>
        <w:pStyle w:val="5"/>
        <w:spacing w:before="122" w:line="312" w:lineRule="auto"/>
        <w:ind w:left="119" w:right="234" w:firstLine="480"/>
        <w:jc w:val="both"/>
        <w:rPr>
          <w:rFonts w:hint="eastAsia"/>
        </w:rPr>
      </w:pPr>
      <w:r>
        <w:rPr>
          <w:rFonts w:hint="eastAsia" w:cs="Times New Roman"/>
          <w:kern w:val="2"/>
          <w:sz w:val="28"/>
          <w:szCs w:val="28"/>
        </w:rPr>
        <w:t>颠茄草，《中华人民共和国药典》（2020年版）规定本品为茄科植物颠茄Atropa belladonna L.的干燥全草。在开花至结果期内采挖，除去粗茎和泥沙，切段干燥。用途：抗胆碱药。植物颠茄，为茄科颠茄属多年生草本，因引种栽培为一年生，原产欧洲中部、西部和南部，我国在二十世纪</w:t>
      </w:r>
      <w:r>
        <w:rPr>
          <w:rFonts w:hint="eastAsia" w:cs="Times New Roman"/>
          <w:kern w:val="2"/>
          <w:sz w:val="28"/>
          <w:szCs w:val="28"/>
          <w:lang w:eastAsia="zh-CN"/>
        </w:rPr>
        <w:t>二三十年代</w:t>
      </w:r>
      <w:r>
        <w:rPr>
          <w:rFonts w:hint="eastAsia" w:cs="Times New Roman"/>
          <w:kern w:val="2"/>
          <w:sz w:val="28"/>
          <w:szCs w:val="28"/>
        </w:rPr>
        <w:t>开始引种栽培。颠茄是东莨菪碱、莨菪碱最主要的商业栽培药源，也是我国药典规定的唯一托品烷类生物碱的药源植物。市场需求旺盛，价格逐年稳步上升。项目承担单位之一的石药集团江西金芙蓉药业股份有限公司是全国颠茄流浸膏的全国龙头生产企业，占有全国颠茄流浸膏75%的市场份额。所以一直致力于联合江西省林科院、河北农科院等，对颠茄流浸膏的制备研究、种植全国标准化推广及规范化生产标准化的技术工作从未断过。</w:t>
      </w:r>
    </w:p>
    <w:p w14:paraId="2A39BF94">
      <w:pPr>
        <w:autoSpaceDE/>
        <w:autoSpaceDN/>
        <w:spacing w:line="360" w:lineRule="auto"/>
        <w:ind w:firstLine="480"/>
        <w:jc w:val="both"/>
        <w:outlineLvl w:val="1"/>
        <w:rPr>
          <w:rFonts w:hint="eastAsia" w:cs="Times New Roman"/>
          <w:kern w:val="2"/>
          <w:sz w:val="28"/>
          <w:szCs w:val="28"/>
        </w:rPr>
      </w:pPr>
      <w:r>
        <w:rPr>
          <w:rFonts w:hint="eastAsia" w:cs="Times New Roman"/>
          <w:b/>
          <w:kern w:val="2"/>
          <w:sz w:val="28"/>
          <w:szCs w:val="28"/>
        </w:rPr>
        <w:t>3</w:t>
      </w:r>
      <w:r>
        <w:rPr>
          <w:rFonts w:cs="Times New Roman"/>
          <w:b/>
          <w:kern w:val="2"/>
          <w:sz w:val="28"/>
          <w:szCs w:val="28"/>
        </w:rPr>
        <w:t>、</w:t>
      </w:r>
      <w:r>
        <w:rPr>
          <w:rFonts w:hint="eastAsia" w:cs="Times New Roman"/>
          <w:b/>
          <w:kern w:val="2"/>
          <w:sz w:val="28"/>
          <w:szCs w:val="28"/>
        </w:rPr>
        <w:t>已有标准情况</w:t>
      </w:r>
    </w:p>
    <w:p w14:paraId="2A39BF95">
      <w:pPr>
        <w:autoSpaceDE/>
        <w:autoSpaceDN/>
        <w:spacing w:line="360" w:lineRule="auto"/>
        <w:ind w:firstLine="480"/>
        <w:jc w:val="both"/>
        <w:rPr>
          <w:rFonts w:hint="eastAsia" w:cs="Times New Roman"/>
          <w:kern w:val="2"/>
          <w:sz w:val="28"/>
          <w:szCs w:val="28"/>
        </w:rPr>
      </w:pPr>
      <w:r>
        <w:rPr>
          <w:rFonts w:hint="eastAsia" w:cs="Times New Roman"/>
          <w:kern w:val="2"/>
          <w:sz w:val="28"/>
          <w:szCs w:val="28"/>
        </w:rPr>
        <w:t>颠茄在我国北京、山东、四川、浙江、江西和河南等地均有栽培，颠茄的应用与研究主要集中在药理分析和成分检测等方向。目前，仅见江西省发布了相关地方标准：DB36/T 1263-2020《颠茄育苗技术规程》和DB36/T 1262-2020《颠茄规范化生产技术规程》。</w:t>
      </w:r>
    </w:p>
    <w:p w14:paraId="2A39BF96">
      <w:pPr>
        <w:autoSpaceDE/>
        <w:autoSpaceDN/>
        <w:ind w:firstLine="640" w:firstLineChars="200"/>
        <w:jc w:val="both"/>
        <w:outlineLvl w:val="0"/>
        <w:rPr>
          <w:rFonts w:ascii="黑体" w:hAnsi="Times New Roman" w:eastAsia="黑体" w:cs="Times New Roman"/>
          <w:kern w:val="2"/>
          <w:sz w:val="32"/>
          <w:szCs w:val="32"/>
        </w:rPr>
      </w:pPr>
      <w:r>
        <w:rPr>
          <w:rFonts w:hint="eastAsia" w:ascii="黑体" w:hAnsi="Times New Roman" w:eastAsia="黑体" w:cs="Times New Roman"/>
          <w:kern w:val="2"/>
          <w:sz w:val="32"/>
          <w:szCs w:val="32"/>
        </w:rPr>
        <w:t>三.主要修订过程</w:t>
      </w:r>
    </w:p>
    <w:p w14:paraId="2A39BF97">
      <w:pPr>
        <w:pStyle w:val="5"/>
        <w:autoSpaceDE/>
        <w:autoSpaceDN/>
        <w:spacing w:before="161" w:line="364" w:lineRule="auto"/>
        <w:ind w:left="119" w:right="237" w:firstLine="560" w:firstLineChars="200"/>
        <w:jc w:val="both"/>
        <w:rPr>
          <w:rFonts w:ascii="Times New Roman" w:hAnsi="Times New Roman" w:cs="Times New Roman"/>
          <w:kern w:val="2"/>
          <w:sz w:val="28"/>
          <w:szCs w:val="28"/>
        </w:rPr>
      </w:pPr>
      <w:r>
        <w:rPr>
          <w:rFonts w:hint="eastAsia" w:ascii="Times New Roman" w:hAnsi="Times New Roman" w:cs="Times New Roman"/>
          <w:kern w:val="2"/>
          <w:sz w:val="28"/>
          <w:szCs w:val="28"/>
        </w:rPr>
        <w:t>为保证标准的科学性、规范性、适用性和先进性，以达到充分发挥标准对颠茄生产的指导和规范作用，本标准的修订任务下达后，成立了标准起草小组，起草小组就本标准的修订编制了详细的工作计划并贯彻执行，标准编制和修订过程主要工作内容如下：</w:t>
      </w:r>
    </w:p>
    <w:p w14:paraId="2A39BF98">
      <w:pPr>
        <w:autoSpaceDE/>
        <w:autoSpaceDN/>
        <w:spacing w:line="360" w:lineRule="auto"/>
        <w:ind w:firstLine="480"/>
        <w:jc w:val="both"/>
        <w:rPr>
          <w:rFonts w:hint="eastAsia" w:cs="Times New Roman"/>
          <w:kern w:val="2"/>
          <w:sz w:val="28"/>
          <w:szCs w:val="28"/>
        </w:rPr>
      </w:pPr>
      <w:r>
        <w:rPr>
          <w:rFonts w:hint="eastAsia" w:ascii="Times New Roman" w:hAnsi="Times New Roman" w:cs="Times New Roman"/>
          <w:kern w:val="2"/>
          <w:sz w:val="28"/>
          <w:szCs w:val="28"/>
        </w:rPr>
        <w:t>2023年10月20日，江西省市场监督管理局发布《江西省市场监管局关于同意修订&lt;低效林改造技术规程&gt;等24项林业地方标准的复函》。2024年8月，由丁伟牵头标准整合修订</w:t>
      </w:r>
      <w:r>
        <w:rPr>
          <w:rFonts w:hint="eastAsia" w:cs="Times New Roman"/>
          <w:kern w:val="2"/>
          <w:sz w:val="28"/>
          <w:szCs w:val="28"/>
        </w:rPr>
        <w:t>DB36/T 1263-2020《颠茄育苗技术规程》和DB36/T 1262-2020《颠茄规范化生产技术规程》</w:t>
      </w:r>
      <w:r>
        <w:rPr>
          <w:rFonts w:hint="eastAsia" w:ascii="Times New Roman" w:hAnsi="Times New Roman" w:cs="Times New Roman"/>
          <w:kern w:val="2"/>
          <w:sz w:val="28"/>
          <w:szCs w:val="28"/>
        </w:rPr>
        <w:t>。</w:t>
      </w:r>
    </w:p>
    <w:p w14:paraId="2A39BF9B">
      <w:pPr>
        <w:autoSpaceDE/>
        <w:autoSpaceDN/>
        <w:spacing w:line="360" w:lineRule="auto"/>
        <w:ind w:firstLine="480"/>
        <w:jc w:val="both"/>
        <w:outlineLvl w:val="0"/>
        <w:rPr>
          <w:rFonts w:ascii="Times New Roman" w:hAnsi="Times New Roman" w:cs="Times New Roman"/>
          <w:kern w:val="2"/>
          <w:sz w:val="28"/>
          <w:szCs w:val="28"/>
        </w:rPr>
      </w:pPr>
      <w:r>
        <w:rPr>
          <w:rFonts w:hint="eastAsia" w:ascii="黑体" w:hAnsi="Times New Roman" w:eastAsia="黑体" w:cs="Times New Roman"/>
          <w:kern w:val="2"/>
          <w:sz w:val="32"/>
          <w:szCs w:val="32"/>
        </w:rPr>
        <w:t>四.修订标准的原则和依据，与现行法律、法规、标准的关系</w:t>
      </w:r>
    </w:p>
    <w:p w14:paraId="2A39BF9C">
      <w:pPr>
        <w:autoSpaceDE/>
        <w:autoSpaceDN/>
        <w:ind w:firstLine="640" w:firstLineChars="200"/>
        <w:jc w:val="both"/>
        <w:outlineLvl w:val="1"/>
        <w:rPr>
          <w:rFonts w:ascii="黑体" w:hAnsi="Times New Roman" w:eastAsia="黑体" w:cs="Times New Roman"/>
          <w:kern w:val="2"/>
          <w:sz w:val="32"/>
          <w:szCs w:val="32"/>
        </w:rPr>
      </w:pPr>
      <w:r>
        <w:rPr>
          <w:rFonts w:hint="eastAsia" w:ascii="黑体" w:hAnsi="Times New Roman" w:eastAsia="黑体" w:cs="Times New Roman"/>
          <w:kern w:val="2"/>
          <w:sz w:val="32"/>
          <w:szCs w:val="32"/>
        </w:rPr>
        <w:t>（一）标准修订原则</w:t>
      </w:r>
    </w:p>
    <w:p w14:paraId="2A39BF9D">
      <w:pPr>
        <w:pStyle w:val="5"/>
        <w:autoSpaceDE/>
        <w:autoSpaceDN/>
        <w:spacing w:before="161" w:line="364" w:lineRule="auto"/>
        <w:ind w:left="119" w:right="237" w:firstLine="560" w:firstLineChars="200"/>
        <w:jc w:val="both"/>
        <w:rPr>
          <w:rFonts w:ascii="Times New Roman" w:hAnsi="Times New Roman" w:cs="Times New Roman"/>
          <w:kern w:val="2"/>
          <w:sz w:val="28"/>
          <w:szCs w:val="28"/>
        </w:rPr>
      </w:pPr>
      <w:r>
        <w:rPr>
          <w:rFonts w:hint="eastAsia" w:ascii="Times New Roman" w:hAnsi="Times New Roman" w:cs="Times New Roman"/>
          <w:kern w:val="2"/>
          <w:sz w:val="28"/>
          <w:szCs w:val="28"/>
        </w:rPr>
        <w:t>应用颠茄应用与研究的多项最新科研技术成果，及有关研究文献资料，结合省林科院在全国主产区的山东、河北、湖南进行了连续4年的标准化种植的推广应用，遵循科学性、系统性、可靠性、可操作性、规范性、程序性等原则制定本标准。</w:t>
      </w:r>
    </w:p>
    <w:p w14:paraId="2A39BF9E">
      <w:pPr>
        <w:autoSpaceDE/>
        <w:autoSpaceDN/>
        <w:spacing w:line="360" w:lineRule="auto"/>
        <w:ind w:firstLine="480"/>
        <w:jc w:val="both"/>
        <w:rPr>
          <w:rFonts w:ascii="Times New Roman" w:hAnsi="Times New Roman" w:cs="Times New Roman"/>
          <w:kern w:val="2"/>
          <w:sz w:val="28"/>
          <w:szCs w:val="28"/>
        </w:rPr>
      </w:pPr>
      <w:r>
        <w:rPr>
          <w:rFonts w:hint="eastAsia" w:ascii="Times New Roman" w:hAnsi="Times New Roman" w:cs="Times New Roman"/>
          <w:kern w:val="2"/>
          <w:sz w:val="28"/>
          <w:szCs w:val="28"/>
        </w:rPr>
        <w:t>1、科学性：在标准编制中充分吸收最新研究成果和先进技术，</w:t>
      </w:r>
      <w:r>
        <w:rPr>
          <w:rFonts w:hint="eastAsia" w:ascii="Times New Roman" w:hAnsi="Times New Roman" w:cs="Times New Roman"/>
          <w:kern w:val="2"/>
          <w:sz w:val="28"/>
          <w:szCs w:val="28"/>
          <w:lang w:eastAsia="zh-CN"/>
        </w:rPr>
        <w:t>制定</w:t>
      </w:r>
      <w:r>
        <w:rPr>
          <w:rFonts w:hint="eastAsia" w:ascii="Times New Roman" w:hAnsi="Times New Roman" w:cs="Times New Roman"/>
          <w:kern w:val="2"/>
          <w:sz w:val="28"/>
          <w:szCs w:val="28"/>
        </w:rPr>
        <w:t>出更加科学、合理的指标与技术措施。</w:t>
      </w:r>
    </w:p>
    <w:p w14:paraId="2A39BF9F">
      <w:pPr>
        <w:autoSpaceDE/>
        <w:autoSpaceDN/>
        <w:spacing w:line="360" w:lineRule="auto"/>
        <w:ind w:firstLine="480"/>
        <w:jc w:val="both"/>
        <w:rPr>
          <w:rFonts w:ascii="Times New Roman" w:hAnsi="Times New Roman" w:cs="Times New Roman"/>
          <w:kern w:val="2"/>
          <w:sz w:val="28"/>
          <w:szCs w:val="28"/>
        </w:rPr>
      </w:pPr>
      <w:r>
        <w:rPr>
          <w:rFonts w:hint="eastAsia" w:ascii="Times New Roman" w:hAnsi="Times New Roman" w:cs="Times New Roman"/>
          <w:kern w:val="2"/>
          <w:sz w:val="28"/>
          <w:szCs w:val="28"/>
        </w:rPr>
        <w:t>2、系统性：颠茄培育技术要求高、操作环节多，在标准编制过程坚持各个环节协调一致，保持良好的相容性。</w:t>
      </w:r>
    </w:p>
    <w:p w14:paraId="2A39BFA0">
      <w:pPr>
        <w:autoSpaceDE/>
        <w:autoSpaceDN/>
        <w:spacing w:line="360" w:lineRule="auto"/>
        <w:ind w:firstLine="480"/>
        <w:jc w:val="both"/>
        <w:rPr>
          <w:rFonts w:ascii="Times New Roman" w:hAnsi="Times New Roman" w:cs="Times New Roman"/>
          <w:kern w:val="2"/>
          <w:sz w:val="28"/>
          <w:szCs w:val="28"/>
        </w:rPr>
      </w:pPr>
      <w:r>
        <w:rPr>
          <w:rFonts w:hint="eastAsia" w:ascii="Times New Roman" w:hAnsi="Times New Roman" w:cs="Times New Roman"/>
          <w:kern w:val="2"/>
          <w:sz w:val="28"/>
          <w:szCs w:val="28"/>
        </w:rPr>
        <w:t>3、可靠性：坚持以数据为基础，依托大量科研试验数据和丰富实践证明的数据编制标准，坚持各项指标与措施来源于实地数据的分析与测算。</w:t>
      </w:r>
    </w:p>
    <w:p w14:paraId="2A39BFA1">
      <w:pPr>
        <w:autoSpaceDE/>
        <w:autoSpaceDN/>
        <w:spacing w:line="360" w:lineRule="auto"/>
        <w:ind w:firstLine="480"/>
        <w:jc w:val="both"/>
        <w:rPr>
          <w:rFonts w:ascii="Times New Roman" w:hAnsi="Times New Roman" w:cs="Times New Roman"/>
          <w:kern w:val="2"/>
          <w:sz w:val="28"/>
          <w:szCs w:val="28"/>
        </w:rPr>
      </w:pPr>
      <w:r>
        <w:rPr>
          <w:rFonts w:hint="eastAsia" w:ascii="Times New Roman" w:hAnsi="Times New Roman" w:cs="Times New Roman"/>
          <w:kern w:val="2"/>
          <w:sz w:val="28"/>
          <w:szCs w:val="28"/>
        </w:rPr>
        <w:t>4、可操作性：力求标准的条款表述明确无歧义，简便明了易理解和操作，排除人为的随意性。</w:t>
      </w:r>
    </w:p>
    <w:p w14:paraId="2A39BFA2">
      <w:pPr>
        <w:autoSpaceDE/>
        <w:autoSpaceDN/>
        <w:spacing w:line="360" w:lineRule="auto"/>
        <w:ind w:firstLine="480"/>
        <w:jc w:val="both"/>
        <w:rPr>
          <w:rFonts w:ascii="Times New Roman" w:hAnsi="Times New Roman" w:cs="Times New Roman"/>
          <w:kern w:val="2"/>
          <w:sz w:val="28"/>
          <w:szCs w:val="28"/>
        </w:rPr>
      </w:pPr>
      <w:r>
        <w:rPr>
          <w:rFonts w:hint="eastAsia" w:ascii="Times New Roman" w:hAnsi="Times New Roman" w:cs="Times New Roman"/>
          <w:kern w:val="2"/>
          <w:sz w:val="28"/>
          <w:szCs w:val="28"/>
        </w:rPr>
        <w:t>5、规范性：标准内容的编写顺序、编排格式、章节划分以及编号等力求符合GB/T 1.1-2020给出的规则。</w:t>
      </w:r>
    </w:p>
    <w:p w14:paraId="2A39BFA3">
      <w:pPr>
        <w:autoSpaceDE/>
        <w:autoSpaceDN/>
        <w:spacing w:line="360" w:lineRule="auto"/>
        <w:ind w:firstLine="480"/>
        <w:jc w:val="both"/>
        <w:rPr>
          <w:rFonts w:hint="eastAsia"/>
        </w:rPr>
      </w:pPr>
      <w:r>
        <w:rPr>
          <w:rFonts w:hint="eastAsia" w:ascii="Times New Roman" w:hAnsi="Times New Roman" w:cs="Times New Roman"/>
          <w:kern w:val="2"/>
          <w:sz w:val="28"/>
          <w:szCs w:val="28"/>
        </w:rPr>
        <w:t>6、程序性：按照标准编制过程要求的先后次序有序实施。</w:t>
      </w:r>
    </w:p>
    <w:p w14:paraId="2A39BFA4">
      <w:pPr>
        <w:spacing w:line="360" w:lineRule="auto"/>
        <w:ind w:firstLine="480"/>
        <w:jc w:val="both"/>
        <w:outlineLvl w:val="1"/>
        <w:rPr>
          <w:rFonts w:ascii="Times New Roman" w:hAnsi="Times New Roman" w:cs="Times New Roman"/>
          <w:sz w:val="28"/>
          <w:szCs w:val="28"/>
        </w:rPr>
      </w:pPr>
      <w:r>
        <w:rPr>
          <w:rFonts w:hint="eastAsia" w:ascii="黑体" w:hAnsi="Times New Roman" w:eastAsia="黑体" w:cs="Times New Roman"/>
          <w:kern w:val="2"/>
          <w:sz w:val="32"/>
          <w:szCs w:val="32"/>
        </w:rPr>
        <w:t>（二）与现行法律、法规、标准的关系</w:t>
      </w:r>
    </w:p>
    <w:p w14:paraId="2A39BFA5">
      <w:pPr>
        <w:autoSpaceDE/>
        <w:autoSpaceDN/>
        <w:spacing w:line="360" w:lineRule="auto"/>
        <w:ind w:firstLine="560" w:firstLineChars="200"/>
        <w:jc w:val="both"/>
        <w:rPr>
          <w:rFonts w:hint="eastAsia" w:cs="Times New Roman"/>
          <w:kern w:val="2"/>
          <w:sz w:val="28"/>
          <w:szCs w:val="28"/>
        </w:rPr>
      </w:pPr>
      <w:r>
        <w:rPr>
          <w:rFonts w:hint="eastAsia" w:cs="Times New Roman"/>
          <w:kern w:val="2"/>
          <w:sz w:val="28"/>
          <w:szCs w:val="28"/>
        </w:rPr>
        <w:t>在修订过程中，主要参考了以下国内现行法律、法规和标准：</w:t>
      </w:r>
    </w:p>
    <w:p w14:paraId="07BE45B7">
      <w:pPr>
        <w:autoSpaceDE/>
        <w:autoSpaceDN/>
        <w:spacing w:line="360" w:lineRule="auto"/>
        <w:ind w:firstLine="560" w:firstLineChars="200"/>
        <w:jc w:val="both"/>
        <w:rPr>
          <w:rFonts w:hint="eastAsia"/>
          <w:sz w:val="28"/>
          <w:szCs w:val="28"/>
        </w:rPr>
      </w:pPr>
      <w:r>
        <w:rPr>
          <w:rFonts w:hint="eastAsia"/>
          <w:sz w:val="28"/>
          <w:szCs w:val="28"/>
        </w:rPr>
        <w:t>GB 3095环境空气质量标准</w:t>
      </w:r>
    </w:p>
    <w:p w14:paraId="29853ED2">
      <w:pPr>
        <w:autoSpaceDE/>
        <w:autoSpaceDN/>
        <w:spacing w:line="360" w:lineRule="auto"/>
        <w:ind w:firstLine="560" w:firstLineChars="200"/>
        <w:jc w:val="both"/>
        <w:rPr>
          <w:rFonts w:hint="eastAsia"/>
          <w:sz w:val="28"/>
          <w:szCs w:val="28"/>
        </w:rPr>
      </w:pPr>
      <w:r>
        <w:rPr>
          <w:rFonts w:hint="eastAsia"/>
          <w:sz w:val="28"/>
          <w:szCs w:val="28"/>
        </w:rPr>
        <w:t>GB 4285 农药安全使用标准</w:t>
      </w:r>
    </w:p>
    <w:p w14:paraId="77C7C0BF">
      <w:pPr>
        <w:autoSpaceDE/>
        <w:autoSpaceDN/>
        <w:spacing w:line="360" w:lineRule="auto"/>
        <w:ind w:firstLine="560" w:firstLineChars="200"/>
        <w:jc w:val="both"/>
        <w:rPr>
          <w:rFonts w:hint="eastAsia"/>
          <w:sz w:val="28"/>
          <w:szCs w:val="28"/>
        </w:rPr>
      </w:pPr>
      <w:r>
        <w:rPr>
          <w:rFonts w:hint="eastAsia"/>
          <w:sz w:val="28"/>
          <w:szCs w:val="28"/>
        </w:rPr>
        <w:t>GB 5084 农田灌溉水质标准</w:t>
      </w:r>
    </w:p>
    <w:p w14:paraId="453A6403">
      <w:pPr>
        <w:autoSpaceDE/>
        <w:autoSpaceDN/>
        <w:spacing w:line="360" w:lineRule="auto"/>
        <w:ind w:firstLine="560" w:firstLineChars="200"/>
        <w:jc w:val="both"/>
        <w:rPr>
          <w:rFonts w:hint="eastAsia"/>
          <w:sz w:val="28"/>
          <w:szCs w:val="28"/>
        </w:rPr>
      </w:pPr>
      <w:r>
        <w:rPr>
          <w:rFonts w:hint="eastAsia"/>
          <w:sz w:val="28"/>
          <w:szCs w:val="28"/>
        </w:rPr>
        <w:t>GB/T 8321（所有部分）农药合理使用准则</w:t>
      </w:r>
    </w:p>
    <w:p w14:paraId="6C1B8E0B">
      <w:pPr>
        <w:autoSpaceDE/>
        <w:autoSpaceDN/>
        <w:spacing w:line="360" w:lineRule="auto"/>
        <w:ind w:firstLine="560" w:firstLineChars="200"/>
        <w:jc w:val="both"/>
        <w:rPr>
          <w:rFonts w:hint="eastAsia"/>
          <w:sz w:val="28"/>
          <w:szCs w:val="28"/>
        </w:rPr>
      </w:pPr>
      <w:r>
        <w:rPr>
          <w:rFonts w:hint="eastAsia"/>
          <w:sz w:val="28"/>
          <w:szCs w:val="28"/>
        </w:rPr>
        <w:t>GB 15618 土壤环境质量 农用地土壤污染风险管控标准（试行）</w:t>
      </w:r>
    </w:p>
    <w:p w14:paraId="78253CB8">
      <w:pPr>
        <w:autoSpaceDE/>
        <w:autoSpaceDN/>
        <w:spacing w:line="360" w:lineRule="auto"/>
        <w:ind w:firstLine="560" w:firstLineChars="200"/>
        <w:jc w:val="both"/>
        <w:rPr>
          <w:rFonts w:hint="eastAsia"/>
          <w:sz w:val="28"/>
          <w:szCs w:val="28"/>
        </w:rPr>
      </w:pPr>
      <w:r>
        <w:rPr>
          <w:rFonts w:hint="eastAsia"/>
          <w:sz w:val="28"/>
          <w:szCs w:val="28"/>
        </w:rPr>
        <w:t>GB 16715.3 瓜类作物种子 第3部分 茄果类</w:t>
      </w:r>
    </w:p>
    <w:p w14:paraId="47976172">
      <w:pPr>
        <w:autoSpaceDE/>
        <w:autoSpaceDN/>
        <w:spacing w:line="360" w:lineRule="auto"/>
        <w:ind w:firstLine="560" w:firstLineChars="200"/>
        <w:jc w:val="both"/>
        <w:rPr>
          <w:rFonts w:hint="eastAsia"/>
          <w:sz w:val="28"/>
          <w:szCs w:val="28"/>
        </w:rPr>
      </w:pPr>
      <w:r>
        <w:rPr>
          <w:rFonts w:hint="eastAsia"/>
          <w:sz w:val="28"/>
          <w:szCs w:val="28"/>
        </w:rPr>
        <w:t>HG/T 4365 水溶性肥料</w:t>
      </w:r>
    </w:p>
    <w:p w14:paraId="15821CF8">
      <w:pPr>
        <w:autoSpaceDE/>
        <w:autoSpaceDN/>
        <w:spacing w:line="360" w:lineRule="auto"/>
        <w:ind w:firstLine="560" w:firstLineChars="200"/>
        <w:jc w:val="both"/>
        <w:rPr>
          <w:rFonts w:hint="eastAsia"/>
          <w:sz w:val="28"/>
          <w:szCs w:val="28"/>
        </w:rPr>
      </w:pPr>
      <w:r>
        <w:rPr>
          <w:rFonts w:hint="eastAsia"/>
          <w:sz w:val="28"/>
          <w:szCs w:val="28"/>
        </w:rPr>
        <w:t>NY 525 有机肥料</w:t>
      </w:r>
    </w:p>
    <w:p w14:paraId="3B9E25AB">
      <w:pPr>
        <w:autoSpaceDE/>
        <w:autoSpaceDN/>
        <w:spacing w:line="360" w:lineRule="auto"/>
        <w:ind w:firstLine="560" w:firstLineChars="200"/>
        <w:jc w:val="both"/>
        <w:rPr>
          <w:rFonts w:hint="eastAsia"/>
          <w:sz w:val="28"/>
          <w:szCs w:val="28"/>
        </w:rPr>
      </w:pPr>
      <w:r>
        <w:rPr>
          <w:rFonts w:hint="eastAsia"/>
          <w:sz w:val="28"/>
          <w:szCs w:val="28"/>
        </w:rPr>
        <w:t>NY/T 1276 农药安全使用规范总则</w:t>
      </w:r>
    </w:p>
    <w:p w14:paraId="3D17E737">
      <w:pPr>
        <w:autoSpaceDE/>
        <w:autoSpaceDN/>
        <w:spacing w:line="360" w:lineRule="auto"/>
        <w:ind w:firstLine="560" w:firstLineChars="200"/>
        <w:jc w:val="both"/>
        <w:rPr>
          <w:rFonts w:hint="eastAsia"/>
          <w:sz w:val="28"/>
          <w:szCs w:val="28"/>
        </w:rPr>
      </w:pPr>
      <w:r>
        <w:rPr>
          <w:rFonts w:hint="eastAsia"/>
          <w:sz w:val="28"/>
          <w:szCs w:val="28"/>
        </w:rPr>
        <w:t>NY/T 2118 蔬菜育苗基质</w:t>
      </w:r>
    </w:p>
    <w:p w14:paraId="590DF781">
      <w:pPr>
        <w:autoSpaceDE/>
        <w:autoSpaceDN/>
        <w:spacing w:line="360" w:lineRule="auto"/>
        <w:ind w:firstLine="560" w:firstLineChars="200"/>
        <w:jc w:val="both"/>
        <w:rPr>
          <w:rFonts w:hint="eastAsia"/>
          <w:sz w:val="28"/>
          <w:szCs w:val="28"/>
        </w:rPr>
      </w:pPr>
      <w:r>
        <w:rPr>
          <w:rFonts w:hint="eastAsia"/>
          <w:sz w:val="28"/>
          <w:szCs w:val="28"/>
        </w:rPr>
        <w:t>SB/T 11182 中药材包装技术规范</w:t>
      </w:r>
    </w:p>
    <w:p w14:paraId="07DCF77E">
      <w:pPr>
        <w:autoSpaceDE/>
        <w:autoSpaceDN/>
        <w:spacing w:line="360" w:lineRule="auto"/>
        <w:ind w:firstLine="560" w:firstLineChars="200"/>
        <w:jc w:val="both"/>
        <w:rPr>
          <w:rFonts w:hint="eastAsia"/>
          <w:sz w:val="28"/>
          <w:szCs w:val="28"/>
        </w:rPr>
      </w:pPr>
      <w:r>
        <w:rPr>
          <w:rFonts w:hint="eastAsia"/>
          <w:sz w:val="28"/>
          <w:szCs w:val="28"/>
        </w:rPr>
        <w:t>《中华人民共和国药典》（2020年版 一部）</w:t>
      </w:r>
    </w:p>
    <w:p w14:paraId="5B90A9B9">
      <w:pPr>
        <w:autoSpaceDE/>
        <w:autoSpaceDN/>
        <w:spacing w:line="360" w:lineRule="auto"/>
        <w:ind w:firstLine="560" w:firstLineChars="200"/>
        <w:jc w:val="both"/>
        <w:rPr>
          <w:sz w:val="28"/>
          <w:szCs w:val="28"/>
        </w:rPr>
      </w:pPr>
      <w:r>
        <w:rPr>
          <w:rFonts w:hint="eastAsia"/>
          <w:sz w:val="28"/>
          <w:szCs w:val="28"/>
        </w:rPr>
        <w:t>《中药材生产质量管理规范》</w:t>
      </w:r>
    </w:p>
    <w:p w14:paraId="2A39BFA9">
      <w:pPr>
        <w:autoSpaceDE/>
        <w:autoSpaceDN/>
        <w:spacing w:line="360" w:lineRule="auto"/>
        <w:ind w:firstLine="560" w:firstLineChars="200"/>
        <w:jc w:val="both"/>
        <w:rPr>
          <w:rFonts w:hint="eastAsia"/>
          <w:sz w:val="28"/>
          <w:szCs w:val="28"/>
        </w:rPr>
      </w:pPr>
      <w:r>
        <w:rPr>
          <w:rFonts w:hint="eastAsia"/>
          <w:sz w:val="28"/>
          <w:szCs w:val="28"/>
        </w:rPr>
        <w:t>本标准与</w:t>
      </w:r>
      <w:r>
        <w:rPr>
          <w:rFonts w:hint="eastAsia"/>
          <w:sz w:val="28"/>
          <w:szCs w:val="28"/>
          <w:lang w:eastAsia="zh-CN"/>
        </w:rPr>
        <w:t>上述</w:t>
      </w:r>
      <w:r>
        <w:rPr>
          <w:rFonts w:hint="eastAsia"/>
          <w:sz w:val="28"/>
          <w:szCs w:val="28"/>
        </w:rPr>
        <w:t>国内现行法律、法规和标准相协调，不存在重复、交叉、不协调等矛盾。</w:t>
      </w:r>
    </w:p>
    <w:p w14:paraId="2A39BFAA">
      <w:pPr>
        <w:autoSpaceDE/>
        <w:autoSpaceDN/>
        <w:ind w:firstLine="640" w:firstLineChars="200"/>
        <w:jc w:val="both"/>
        <w:outlineLvl w:val="0"/>
        <w:rPr>
          <w:rFonts w:ascii="黑体" w:hAnsi="Times New Roman" w:eastAsia="黑体" w:cs="Times New Roman"/>
          <w:kern w:val="2"/>
          <w:sz w:val="32"/>
          <w:szCs w:val="32"/>
        </w:rPr>
      </w:pPr>
      <w:r>
        <w:rPr>
          <w:rFonts w:hint="eastAsia" w:ascii="黑体" w:hAnsi="Times New Roman" w:eastAsia="黑体" w:cs="Times New Roman"/>
          <w:kern w:val="2"/>
          <w:sz w:val="32"/>
          <w:szCs w:val="32"/>
        </w:rPr>
        <w:t xml:space="preserve">五.主要条款的说明 </w:t>
      </w:r>
    </w:p>
    <w:p w14:paraId="2A39BFAB">
      <w:pPr>
        <w:autoSpaceDE/>
        <w:autoSpaceDN/>
        <w:ind w:firstLine="562" w:firstLineChars="200"/>
        <w:jc w:val="both"/>
        <w:outlineLvl w:val="1"/>
        <w:rPr>
          <w:rFonts w:hint="eastAsia"/>
          <w:b/>
          <w:bCs/>
          <w:color w:val="000000"/>
          <w:kern w:val="2"/>
          <w:sz w:val="28"/>
          <w:szCs w:val="28"/>
        </w:rPr>
      </w:pPr>
      <w:r>
        <w:rPr>
          <w:rFonts w:hint="eastAsia"/>
          <w:b/>
          <w:bCs/>
          <w:color w:val="000000"/>
          <w:kern w:val="2"/>
          <w:sz w:val="28"/>
          <w:szCs w:val="28"/>
        </w:rPr>
        <w:t>（一）本文件主要技术变化</w:t>
      </w:r>
    </w:p>
    <w:p w14:paraId="5E561C98">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本文件代替DB36/T 1263-2020《颠茄育苗技术规程》和DB36/T 1262-2020《颠茄规范化生产技术规程》）。与DB36/T 1263-2020和DB36/T 1262-2020相比，除结构调整和编辑性改动外，最大最主要变更为技术变更，最重要的技术变更如下：</w:t>
      </w:r>
    </w:p>
    <w:p w14:paraId="2893C9EA">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a)  修订了标准名称，改为：《颠茄栽培技术规程》，按照规范化生产的技术要求来编制标准；</w:t>
      </w:r>
    </w:p>
    <w:p w14:paraId="48B5CF8D">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 xml:space="preserve">b)  修订了范围内容，将育苗并入规范化生产技术规程（见第1章，DB36/T 1263-2020《颠茄育苗技术规程》和DB36/T 1262-2020《颠茄规范化生产技术规程》）； </w:t>
      </w:r>
    </w:p>
    <w:p w14:paraId="01E8413F">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c)  修订了“规范性引用文件”的相关引用文件（《中国药典》2020年版、《中药材生产质量管理规范》取消了原来版本的限制）；</w:t>
      </w:r>
    </w:p>
    <w:p w14:paraId="461BCC60">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d)  修改原有的：“播种时间：7~10月份”；为“播种时间：9~10月份”</w:t>
      </w:r>
    </w:p>
    <w:p w14:paraId="337C6B73">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e)  修改原有的：“播种量：苗床每亩2.5kg”；为“播种量：苗床每亩1.5kg”；</w:t>
      </w:r>
    </w:p>
    <w:p w14:paraId="4732ECD3">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f)  修改原有的：“种苗标准中的直径标准”由原有的一级苗≥0.5上调为≥0.7，二级苗为原来的：0.3~0.5上调至0.5~0.7；</w:t>
      </w:r>
    </w:p>
    <w:p w14:paraId="07B43086">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g)  修改原有的种植密度由原来的“农田等较肥沃土地种植，株行距（40 cm ~50 cm）×50 cm；山坡耕地等较瘠薄土地、新开垦土地种植，株行距30 cm×40 cm。机械作业采用一垄双行种植。为：“农田等较肥沃土地种植，株行距（40 cm ~50 cm）×60 cm；山坡耕地等较瘠薄土地、新开垦土地种植，株行距40 cm×50 cm。机械作业采用一垄双行种植。”将密度</w:t>
      </w:r>
      <w:r>
        <w:rPr>
          <w:rFonts w:hint="eastAsia" w:ascii="Times New Roman" w:hAnsi="Times New Roman" w:cs="Times New Roman"/>
          <w:kern w:val="2"/>
          <w:sz w:val="28"/>
          <w:szCs w:val="28"/>
          <w:lang w:eastAsia="zh-CN"/>
        </w:rPr>
        <w:t>大幅</w:t>
      </w:r>
      <w:bookmarkStart w:id="0" w:name="_GoBack"/>
      <w:bookmarkEnd w:id="0"/>
      <w:r>
        <w:rPr>
          <w:rFonts w:hint="eastAsia" w:ascii="Times New Roman" w:hAnsi="Times New Roman" w:cs="Times New Roman"/>
          <w:kern w:val="2"/>
          <w:sz w:val="28"/>
          <w:szCs w:val="28"/>
        </w:rPr>
        <w:t>进行了修订。</w:t>
      </w:r>
    </w:p>
    <w:p w14:paraId="26B63E4D">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h)  修改原有的“起垄”：宜起“梯形垄”或地膜覆盖的“拱形垄”，垄高25 cm~30 cm，垄基宽80 cm~100 cm。为“垄基宽60 cm~80 cm。”；</w:t>
      </w:r>
    </w:p>
    <w:p w14:paraId="3880DD99">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i )  将苗期、生长期的病虫害种类，细化了危害症状、危害时间、防治方法进行合并，按最新的要求进行表达修改，作为资料性附录A|B。</w:t>
      </w:r>
    </w:p>
    <w:p w14:paraId="2A39BFBF">
      <w:pPr>
        <w:autoSpaceDE/>
        <w:autoSpaceDN/>
        <w:spacing w:line="360" w:lineRule="auto"/>
        <w:ind w:firstLine="480"/>
        <w:jc w:val="both"/>
        <w:rPr>
          <w:rFonts w:hint="eastAsia"/>
        </w:rPr>
      </w:pPr>
      <w:r>
        <w:rPr>
          <w:rFonts w:hint="eastAsia" w:ascii="Times New Roman" w:hAnsi="Times New Roman" w:cs="Times New Roman"/>
          <w:kern w:val="2"/>
          <w:sz w:val="28"/>
          <w:szCs w:val="28"/>
        </w:rPr>
        <w:t>j)药材质量：要符合《中国药典）（2020年）项下“颠茄草”的要求。</w:t>
      </w:r>
    </w:p>
    <w:p w14:paraId="2A39BFC0">
      <w:pPr>
        <w:autoSpaceDE/>
        <w:autoSpaceDN/>
        <w:ind w:firstLine="562" w:firstLineChars="200"/>
        <w:jc w:val="both"/>
        <w:outlineLvl w:val="1"/>
        <w:rPr>
          <w:rFonts w:hint="eastAsia"/>
          <w:b/>
          <w:bCs/>
          <w:color w:val="000000"/>
          <w:kern w:val="2"/>
          <w:sz w:val="28"/>
          <w:szCs w:val="28"/>
        </w:rPr>
      </w:pPr>
      <w:r>
        <w:rPr>
          <w:rFonts w:hint="eastAsia"/>
          <w:b/>
          <w:bCs/>
          <w:color w:val="000000"/>
          <w:kern w:val="2"/>
          <w:sz w:val="28"/>
          <w:szCs w:val="28"/>
        </w:rPr>
        <w:t>（二）主要条款的说明</w:t>
      </w:r>
    </w:p>
    <w:p w14:paraId="4356925E">
      <w:pPr>
        <w:autoSpaceDE/>
        <w:autoSpaceDN/>
        <w:spacing w:line="360" w:lineRule="auto"/>
        <w:ind w:firstLine="480"/>
        <w:jc w:val="both"/>
        <w:outlineLvl w:val="2"/>
        <w:rPr>
          <w:rFonts w:hint="eastAsia" w:ascii="Times New Roman" w:hAnsi="Times New Roman" w:cs="Times New Roman"/>
          <w:b/>
          <w:kern w:val="2"/>
          <w:sz w:val="28"/>
          <w:szCs w:val="28"/>
          <w:lang w:val="en"/>
        </w:rPr>
      </w:pPr>
      <w:r>
        <w:rPr>
          <w:rFonts w:hint="eastAsia" w:ascii="Times New Roman" w:hAnsi="Times New Roman" w:cs="Times New Roman"/>
          <w:b/>
          <w:kern w:val="2"/>
          <w:sz w:val="28"/>
          <w:szCs w:val="28"/>
          <w:lang w:val="en"/>
        </w:rPr>
        <w:t>1、种植环境</w:t>
      </w:r>
    </w:p>
    <w:p w14:paraId="6B39FC28">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本部分明确了颠茄种植过程中的产地选择、种植地块选择和环境质量要求等技术要求。</w:t>
      </w:r>
    </w:p>
    <w:p w14:paraId="2A8B8CD5">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颠茄种植宜在远离污染源且光照充足、排灌方便、土壤疏松的地块进行，且生产基地周围的空气、土壤和水源等环境要求应符合《中药材生产质量管理规范》等最新国家标准。</w:t>
      </w:r>
    </w:p>
    <w:p w14:paraId="46A69C6C">
      <w:pPr>
        <w:autoSpaceDE/>
        <w:autoSpaceDN/>
        <w:spacing w:line="360" w:lineRule="auto"/>
        <w:ind w:firstLine="480"/>
        <w:jc w:val="both"/>
        <w:outlineLvl w:val="2"/>
        <w:rPr>
          <w:rFonts w:hint="eastAsia" w:ascii="Times New Roman" w:hAnsi="Times New Roman" w:cs="Times New Roman"/>
          <w:b/>
          <w:kern w:val="2"/>
          <w:sz w:val="28"/>
          <w:szCs w:val="28"/>
          <w:lang w:val="en"/>
        </w:rPr>
      </w:pPr>
      <w:r>
        <w:rPr>
          <w:rFonts w:hint="eastAsia" w:ascii="Times New Roman" w:hAnsi="Times New Roman" w:cs="Times New Roman"/>
          <w:b/>
          <w:kern w:val="2"/>
          <w:sz w:val="28"/>
          <w:szCs w:val="28"/>
          <w:lang w:val="en"/>
        </w:rPr>
        <w:t>2、播种育苗</w:t>
      </w:r>
    </w:p>
    <w:p w14:paraId="00CBBB4C">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本部分明确了颠茄播种育苗过程中种子准备、播种育苗和苗期管理等环节的技术要求。</w:t>
      </w:r>
    </w:p>
    <w:p w14:paraId="22DD00D8">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颠茄育苗应选用优良种源健壮植株上的籽粒饱满种子，并经催芽后撒播于经过处理的苗床或其他营养基质上。同时，还应结合苗期水肥管理、除草、通风遮阳和适当间苗等充分苗期管理措施。</w:t>
      </w:r>
    </w:p>
    <w:p w14:paraId="137614B9">
      <w:pPr>
        <w:autoSpaceDE/>
        <w:autoSpaceDN/>
        <w:spacing w:line="360" w:lineRule="auto"/>
        <w:ind w:firstLine="480"/>
        <w:jc w:val="both"/>
        <w:outlineLvl w:val="2"/>
        <w:rPr>
          <w:rFonts w:hint="eastAsia" w:ascii="Times New Roman" w:hAnsi="Times New Roman" w:cs="Times New Roman"/>
          <w:b/>
          <w:kern w:val="2"/>
          <w:sz w:val="28"/>
          <w:szCs w:val="28"/>
          <w:lang w:val="en"/>
        </w:rPr>
      </w:pPr>
      <w:r>
        <w:rPr>
          <w:rFonts w:hint="eastAsia" w:ascii="Times New Roman" w:hAnsi="Times New Roman" w:cs="Times New Roman"/>
          <w:b/>
          <w:kern w:val="2"/>
          <w:sz w:val="28"/>
          <w:szCs w:val="28"/>
          <w:lang w:val="en"/>
        </w:rPr>
        <w:t>3、苗木出圃</w:t>
      </w:r>
    </w:p>
    <w:p w14:paraId="3405A94E">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本部分明确了颠茄苗木出圃标准、苗木包装运输、苗木检疫和档案管理工作。</w:t>
      </w:r>
    </w:p>
    <w:p w14:paraId="583CD7FC">
      <w:pPr>
        <w:autoSpaceDE/>
        <w:autoSpaceDN/>
        <w:spacing w:line="360" w:lineRule="auto"/>
        <w:ind w:firstLine="480"/>
        <w:jc w:val="both"/>
        <w:outlineLvl w:val="2"/>
        <w:rPr>
          <w:rFonts w:hint="eastAsia" w:ascii="Times New Roman" w:hAnsi="Times New Roman" w:cs="Times New Roman"/>
          <w:b/>
          <w:kern w:val="2"/>
          <w:sz w:val="28"/>
          <w:szCs w:val="28"/>
          <w:lang w:val="en"/>
        </w:rPr>
      </w:pPr>
      <w:r>
        <w:rPr>
          <w:rFonts w:hint="eastAsia" w:ascii="Times New Roman" w:hAnsi="Times New Roman" w:cs="Times New Roman"/>
          <w:b/>
          <w:kern w:val="2"/>
          <w:sz w:val="28"/>
          <w:szCs w:val="28"/>
          <w:lang w:val="en"/>
        </w:rPr>
        <w:t>4、定植</w:t>
      </w:r>
    </w:p>
    <w:p w14:paraId="3136BB0C">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本部分明确了颠茄定植过程中整地、起垄、苗木标准、栽植时间、定植密度和栽植方法等环节的技术要求。</w:t>
      </w:r>
    </w:p>
    <w:p w14:paraId="1BB28B16">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颠茄定植应选用根系完好的健壮苗木，在9~11月份定植于经消毒后施以基肥的土地上。同时，在颠茄定植时需采用在垄面膜上按株行距开洞栽苗。</w:t>
      </w:r>
    </w:p>
    <w:p w14:paraId="2B8E88A9">
      <w:pPr>
        <w:autoSpaceDE/>
        <w:autoSpaceDN/>
        <w:spacing w:line="360" w:lineRule="auto"/>
        <w:ind w:firstLine="480"/>
        <w:jc w:val="both"/>
        <w:outlineLvl w:val="2"/>
        <w:rPr>
          <w:rFonts w:hint="eastAsia" w:ascii="Times New Roman" w:hAnsi="Times New Roman" w:cs="Times New Roman"/>
          <w:b/>
          <w:kern w:val="2"/>
          <w:sz w:val="28"/>
          <w:szCs w:val="28"/>
          <w:lang w:val="en"/>
        </w:rPr>
      </w:pPr>
      <w:r>
        <w:rPr>
          <w:rFonts w:hint="eastAsia" w:ascii="Times New Roman" w:hAnsi="Times New Roman" w:cs="Times New Roman"/>
          <w:b/>
          <w:kern w:val="2"/>
          <w:sz w:val="28"/>
          <w:szCs w:val="28"/>
          <w:lang w:val="en"/>
        </w:rPr>
        <w:t>5、田间管理</w:t>
      </w:r>
    </w:p>
    <w:p w14:paraId="161D81AE">
      <w:pPr>
        <w:autoSpaceDE/>
        <w:autoSpaceDN/>
        <w:spacing w:line="360" w:lineRule="auto"/>
        <w:ind w:firstLine="48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本部分明确了中耕除草、排水灌溉、追肥和病虫害防治等环节的技术要求。</w:t>
      </w:r>
    </w:p>
    <w:p w14:paraId="0504B23A">
      <w:pPr>
        <w:autoSpaceDE/>
        <w:autoSpaceDN/>
        <w:spacing w:line="360" w:lineRule="auto"/>
        <w:ind w:firstLine="480"/>
        <w:jc w:val="both"/>
        <w:outlineLvl w:val="2"/>
        <w:rPr>
          <w:rFonts w:hint="eastAsia" w:ascii="Times New Roman" w:hAnsi="Times New Roman" w:cs="Times New Roman"/>
          <w:b/>
          <w:kern w:val="2"/>
          <w:sz w:val="28"/>
          <w:szCs w:val="28"/>
          <w:lang w:val="en"/>
        </w:rPr>
      </w:pPr>
      <w:r>
        <w:rPr>
          <w:rFonts w:hint="eastAsia" w:ascii="Times New Roman" w:hAnsi="Times New Roman" w:cs="Times New Roman"/>
          <w:b/>
          <w:kern w:val="2"/>
          <w:sz w:val="28"/>
          <w:szCs w:val="28"/>
          <w:lang w:val="en"/>
        </w:rPr>
        <w:t>6、采收储运</w:t>
      </w:r>
    </w:p>
    <w:p w14:paraId="0B87D22A">
      <w:pPr>
        <w:autoSpaceDE/>
        <w:autoSpaceDN/>
        <w:spacing w:line="360" w:lineRule="auto"/>
        <w:ind w:firstLine="480"/>
        <w:jc w:val="both"/>
        <w:rPr>
          <w:rFonts w:ascii="Times New Roman" w:hAnsi="Times New Roman" w:cs="Times New Roman"/>
          <w:kern w:val="2"/>
          <w:sz w:val="28"/>
          <w:szCs w:val="28"/>
        </w:rPr>
      </w:pPr>
      <w:r>
        <w:rPr>
          <w:rFonts w:hint="eastAsia" w:ascii="Times New Roman" w:hAnsi="Times New Roman" w:cs="Times New Roman"/>
          <w:kern w:val="2"/>
          <w:sz w:val="28"/>
          <w:szCs w:val="28"/>
        </w:rPr>
        <w:t>本部分明确了颠茄采收、产地加工、包装储运和药材质量控制等环节的技术要求。</w:t>
      </w:r>
    </w:p>
    <w:p w14:paraId="2A39BFCD">
      <w:pPr>
        <w:autoSpaceDE/>
        <w:autoSpaceDN/>
        <w:spacing w:before="120" w:beforeLines="50" w:after="120" w:afterLines="50" w:line="440" w:lineRule="exact"/>
        <w:jc w:val="both"/>
        <w:outlineLvl w:val="0"/>
        <w:rPr>
          <w:rFonts w:ascii="Times New Roman" w:hAnsi="Times New Roman" w:eastAsia="黑体" w:cs="Times New Roman"/>
          <w:b/>
          <w:kern w:val="2"/>
          <w:sz w:val="32"/>
          <w:szCs w:val="32"/>
        </w:rPr>
      </w:pPr>
      <w:r>
        <w:rPr>
          <w:rFonts w:hint="eastAsia" w:ascii="Times New Roman" w:hAnsi="Times New Roman" w:eastAsia="黑体" w:cs="Times New Roman"/>
          <w:b/>
          <w:kern w:val="2"/>
          <w:sz w:val="32"/>
          <w:szCs w:val="32"/>
        </w:rPr>
        <w:t>六</w:t>
      </w:r>
      <w:r>
        <w:rPr>
          <w:rFonts w:ascii="Times New Roman" w:hAnsi="Times New Roman" w:eastAsia="黑体" w:cs="Times New Roman"/>
          <w:b/>
          <w:kern w:val="2"/>
          <w:sz w:val="32"/>
          <w:szCs w:val="32"/>
        </w:rPr>
        <w:t>．</w:t>
      </w:r>
      <w:r>
        <w:rPr>
          <w:rFonts w:hint="eastAsia" w:ascii="Times New Roman" w:hAnsi="Times New Roman" w:eastAsia="黑体" w:cs="Times New Roman"/>
          <w:b/>
          <w:kern w:val="2"/>
          <w:sz w:val="32"/>
          <w:szCs w:val="32"/>
        </w:rPr>
        <w:t>本标准实施的范围、条件等</w:t>
      </w:r>
    </w:p>
    <w:p w14:paraId="2A39BFCE">
      <w:pPr>
        <w:autoSpaceDE/>
        <w:autoSpaceDN/>
        <w:spacing w:line="360" w:lineRule="auto"/>
        <w:jc w:val="both"/>
        <w:outlineLvl w:val="1"/>
        <w:rPr>
          <w:rFonts w:ascii="Times New Roman" w:hAnsi="Times New Roman" w:cs="Times New Roman"/>
          <w:b/>
          <w:kern w:val="2"/>
          <w:sz w:val="28"/>
          <w:szCs w:val="28"/>
        </w:rPr>
      </w:pPr>
      <w:r>
        <w:rPr>
          <w:rFonts w:ascii="Times New Roman" w:hAnsi="Times New Roman" w:cs="Times New Roman"/>
          <w:b/>
          <w:kern w:val="2"/>
          <w:sz w:val="28"/>
          <w:szCs w:val="28"/>
        </w:rPr>
        <w:t>1．标准推广应用范围</w:t>
      </w:r>
    </w:p>
    <w:p w14:paraId="2A39BFCF">
      <w:pPr>
        <w:autoSpaceDE/>
        <w:autoSpaceDN/>
        <w:spacing w:line="360" w:lineRule="auto"/>
        <w:ind w:firstLine="480"/>
        <w:jc w:val="both"/>
        <w:rPr>
          <w:rFonts w:ascii="Times New Roman" w:hAnsi="Times New Roman" w:cs="Times New Roman"/>
          <w:kern w:val="2"/>
          <w:sz w:val="28"/>
          <w:szCs w:val="28"/>
        </w:rPr>
      </w:pPr>
      <w:r>
        <w:rPr>
          <w:rFonts w:hint="eastAsia" w:ascii="Times New Roman" w:hAnsi="Times New Roman" w:cs="Times New Roman"/>
          <w:kern w:val="2"/>
          <w:sz w:val="28"/>
          <w:szCs w:val="28"/>
        </w:rPr>
        <w:t>本标准可在江西省及江西省类似的生产环境范围内使用。</w:t>
      </w:r>
    </w:p>
    <w:p w14:paraId="2A39BFD0">
      <w:pPr>
        <w:autoSpaceDE/>
        <w:autoSpaceDN/>
        <w:spacing w:line="360" w:lineRule="auto"/>
        <w:jc w:val="both"/>
        <w:outlineLvl w:val="1"/>
        <w:rPr>
          <w:rFonts w:ascii="Times New Roman" w:hAnsi="Times New Roman" w:cs="Times New Roman"/>
          <w:b/>
          <w:kern w:val="2"/>
          <w:sz w:val="28"/>
          <w:szCs w:val="28"/>
        </w:rPr>
      </w:pPr>
      <w:r>
        <w:rPr>
          <w:rFonts w:ascii="Times New Roman" w:hAnsi="Times New Roman" w:cs="Times New Roman"/>
          <w:b/>
          <w:kern w:val="2"/>
          <w:sz w:val="28"/>
          <w:szCs w:val="28"/>
        </w:rPr>
        <w:t>2．标准推广应用条件</w:t>
      </w:r>
    </w:p>
    <w:p w14:paraId="2A39BFD1">
      <w:pPr>
        <w:autoSpaceDE/>
        <w:autoSpaceDN/>
        <w:spacing w:line="360" w:lineRule="auto"/>
        <w:ind w:firstLine="480"/>
        <w:jc w:val="both"/>
        <w:rPr>
          <w:rFonts w:ascii="Times New Roman" w:hAnsi="Times New Roman" w:cs="Times New Roman"/>
          <w:kern w:val="2"/>
          <w:sz w:val="28"/>
          <w:szCs w:val="28"/>
        </w:rPr>
      </w:pPr>
      <w:r>
        <w:rPr>
          <w:rFonts w:hint="eastAsia" w:ascii="Times New Roman" w:hAnsi="Times New Roman" w:cs="Times New Roman"/>
          <w:kern w:val="2"/>
          <w:sz w:val="28"/>
          <w:szCs w:val="28"/>
        </w:rPr>
        <w:t>建议本标准作为推荐性标准贯彻与实施，由江西省质量技术监督局发布，并在广大种植企业和林农间加大宣传力度，加之重点龙头企业的示范带动，进一步推动该标准尽快在全国颠茄生产上加以应用，带动颠茄全产业的整体提升。</w:t>
      </w:r>
    </w:p>
    <w:p w14:paraId="2A39BFD2">
      <w:pPr>
        <w:autoSpaceDE/>
        <w:autoSpaceDN/>
        <w:spacing w:line="360" w:lineRule="auto"/>
        <w:ind w:firstLine="480"/>
        <w:jc w:val="both"/>
        <w:outlineLvl w:val="0"/>
        <w:rPr>
          <w:rFonts w:ascii="Times New Roman" w:hAnsi="Times New Roman" w:eastAsia="黑体" w:cs="Times New Roman"/>
          <w:b/>
          <w:kern w:val="2"/>
          <w:sz w:val="32"/>
          <w:szCs w:val="32"/>
        </w:rPr>
      </w:pPr>
      <w:r>
        <w:rPr>
          <w:rFonts w:hint="eastAsia" w:ascii="Times New Roman" w:hAnsi="Times New Roman" w:eastAsia="黑体" w:cs="Times New Roman"/>
          <w:b/>
          <w:kern w:val="2"/>
          <w:sz w:val="32"/>
          <w:szCs w:val="32"/>
        </w:rPr>
        <w:t>七、其他应说明的事项</w:t>
      </w:r>
    </w:p>
    <w:p w14:paraId="1ECEFA27">
      <w:pPr>
        <w:autoSpaceDE/>
        <w:autoSpaceDN/>
        <w:spacing w:line="360" w:lineRule="auto"/>
        <w:ind w:firstLine="560" w:firstLineChars="200"/>
        <w:jc w:val="both"/>
        <w:rPr>
          <w:rFonts w:hint="eastAsia" w:ascii="Times New Roman" w:hAnsi="Times New Roman" w:cs="Times New Roman"/>
          <w:kern w:val="2"/>
          <w:sz w:val="28"/>
          <w:szCs w:val="28"/>
        </w:rPr>
      </w:pPr>
      <w:r>
        <w:rPr>
          <w:rFonts w:hint="eastAsia" w:ascii="Times New Roman" w:hAnsi="Times New Roman" w:cs="Times New Roman"/>
          <w:kern w:val="2"/>
          <w:sz w:val="28"/>
          <w:szCs w:val="28"/>
        </w:rPr>
        <w:t>无。</w:t>
      </w:r>
    </w:p>
    <w:p w14:paraId="2A39BFD4">
      <w:pPr>
        <w:autoSpaceDE/>
        <w:autoSpaceDN/>
        <w:spacing w:line="360" w:lineRule="auto"/>
        <w:ind w:firstLine="480"/>
        <w:jc w:val="both"/>
        <w:rPr>
          <w:rFonts w:ascii="Times New Roman" w:hAnsi="Times New Roman" w:cs="Times New Roman"/>
          <w:kern w:val="2"/>
          <w:sz w:val="28"/>
          <w:szCs w:val="28"/>
        </w:rPr>
      </w:pPr>
      <w:r>
        <w:rPr>
          <w:rFonts w:hint="eastAsia" w:ascii="Times New Roman" w:hAnsi="Times New Roman" w:cs="Times New Roman"/>
          <w:kern w:val="2"/>
          <w:sz w:val="28"/>
          <w:szCs w:val="28"/>
        </w:rPr>
        <w:t>以上是《颠茄栽培技术规程》标准修订的编制说明。由于生产力水平及项目组认识及集成、研究的不足，敬请领导、专家提出批评指正</w:t>
      </w:r>
      <w:r>
        <w:rPr>
          <w:rFonts w:ascii="Times New Roman" w:hAnsi="Times New Roman" w:cs="Times New Roman"/>
          <w:kern w:val="2"/>
          <w:sz w:val="28"/>
          <w:szCs w:val="28"/>
        </w:rPr>
        <w:t>。</w:t>
      </w:r>
    </w:p>
    <w:p w14:paraId="2A39BFD5">
      <w:pPr>
        <w:pStyle w:val="5"/>
        <w:ind w:left="0"/>
        <w:rPr>
          <w:rFonts w:hint="eastAsia"/>
        </w:rPr>
      </w:pPr>
    </w:p>
    <w:p w14:paraId="2A39BFD6">
      <w:pPr>
        <w:pStyle w:val="5"/>
        <w:spacing w:before="162"/>
        <w:ind w:left="0" w:right="221"/>
        <w:jc w:val="right"/>
        <w:rPr>
          <w:rFonts w:ascii="Times New Roman" w:hAnsi="Times New Roman" w:cs="Times New Roman"/>
          <w:kern w:val="2"/>
          <w:sz w:val="28"/>
          <w:szCs w:val="28"/>
        </w:rPr>
      </w:pPr>
      <w:r>
        <w:rPr>
          <w:rFonts w:ascii="Times New Roman" w:hAnsi="Times New Roman" w:cs="Times New Roman"/>
          <w:kern w:val="2"/>
          <w:sz w:val="28"/>
          <w:szCs w:val="28"/>
        </w:rPr>
        <w:t>江西省林业科学院</w:t>
      </w:r>
    </w:p>
    <w:p w14:paraId="2A39BFD7">
      <w:pPr>
        <w:pStyle w:val="5"/>
        <w:spacing w:before="160"/>
        <w:ind w:left="0" w:right="221"/>
        <w:jc w:val="right"/>
        <w:rPr>
          <w:rFonts w:ascii="Times New Roman" w:hAnsi="Times New Roman" w:cs="Times New Roman"/>
          <w:kern w:val="2"/>
          <w:sz w:val="28"/>
          <w:szCs w:val="28"/>
        </w:rPr>
      </w:pPr>
      <w:r>
        <w:rPr>
          <w:rFonts w:ascii="Times New Roman" w:hAnsi="Times New Roman" w:cs="Times New Roman"/>
          <w:kern w:val="2"/>
          <w:sz w:val="28"/>
          <w:szCs w:val="28"/>
        </w:rPr>
        <w:t>《</w:t>
      </w:r>
      <w:r>
        <w:rPr>
          <w:rFonts w:hint="eastAsia" w:ascii="Times New Roman" w:hAnsi="Times New Roman" w:cs="Times New Roman"/>
          <w:kern w:val="2"/>
          <w:sz w:val="28"/>
          <w:szCs w:val="28"/>
        </w:rPr>
        <w:t>颠茄栽培技术规程</w:t>
      </w:r>
      <w:r>
        <w:rPr>
          <w:rFonts w:ascii="Times New Roman" w:hAnsi="Times New Roman" w:cs="Times New Roman"/>
          <w:kern w:val="2"/>
          <w:sz w:val="28"/>
          <w:szCs w:val="28"/>
        </w:rPr>
        <w:t>》标准</w:t>
      </w:r>
      <w:r>
        <w:rPr>
          <w:rFonts w:hint="eastAsia" w:ascii="Times New Roman" w:hAnsi="Times New Roman" w:cs="Times New Roman"/>
          <w:kern w:val="2"/>
          <w:sz w:val="28"/>
          <w:szCs w:val="28"/>
        </w:rPr>
        <w:t>修订</w:t>
      </w:r>
      <w:r>
        <w:rPr>
          <w:rFonts w:ascii="Times New Roman" w:hAnsi="Times New Roman" w:cs="Times New Roman"/>
          <w:kern w:val="2"/>
          <w:sz w:val="28"/>
          <w:szCs w:val="28"/>
        </w:rPr>
        <w:t>项目组</w:t>
      </w:r>
    </w:p>
    <w:p w14:paraId="2A39BFD8">
      <w:pPr>
        <w:pStyle w:val="5"/>
        <w:spacing w:before="175"/>
        <w:ind w:left="0" w:right="236"/>
        <w:jc w:val="right"/>
        <w:rPr>
          <w:rFonts w:ascii="Times New Roman" w:hAnsi="Times New Roman" w:cs="Times New Roman"/>
          <w:kern w:val="2"/>
          <w:sz w:val="28"/>
          <w:szCs w:val="28"/>
        </w:rPr>
      </w:pPr>
      <w:r>
        <w:rPr>
          <w:rFonts w:ascii="Times New Roman" w:hAnsi="Times New Roman" w:cs="Times New Roman"/>
          <w:kern w:val="2"/>
          <w:sz w:val="28"/>
          <w:szCs w:val="28"/>
        </w:rPr>
        <w:t>20</w:t>
      </w:r>
      <w:r>
        <w:rPr>
          <w:rFonts w:hint="eastAsia" w:ascii="Times New Roman" w:hAnsi="Times New Roman" w:cs="Times New Roman"/>
          <w:kern w:val="2"/>
          <w:sz w:val="28"/>
          <w:szCs w:val="28"/>
        </w:rPr>
        <w:t>24</w:t>
      </w:r>
      <w:r>
        <w:rPr>
          <w:rFonts w:ascii="Times New Roman" w:hAnsi="Times New Roman" w:cs="Times New Roman"/>
          <w:kern w:val="2"/>
          <w:sz w:val="28"/>
          <w:szCs w:val="28"/>
        </w:rPr>
        <w:t>-</w:t>
      </w:r>
      <w:r>
        <w:rPr>
          <w:rFonts w:hint="eastAsia" w:ascii="Times New Roman" w:hAnsi="Times New Roman" w:cs="Times New Roman"/>
          <w:kern w:val="2"/>
          <w:sz w:val="28"/>
          <w:szCs w:val="28"/>
        </w:rPr>
        <w:t>06</w:t>
      </w:r>
      <w:r>
        <w:rPr>
          <w:rFonts w:ascii="Times New Roman" w:hAnsi="Times New Roman" w:cs="Times New Roman"/>
          <w:kern w:val="2"/>
          <w:sz w:val="28"/>
          <w:szCs w:val="28"/>
        </w:rPr>
        <w:t>-</w:t>
      </w:r>
      <w:r>
        <w:rPr>
          <w:rFonts w:hint="eastAsia" w:ascii="Times New Roman" w:hAnsi="Times New Roman" w:cs="Times New Roman"/>
          <w:kern w:val="2"/>
          <w:sz w:val="28"/>
          <w:szCs w:val="28"/>
        </w:rPr>
        <w:t>06</w:t>
      </w:r>
    </w:p>
    <w:sectPr>
      <w:footerReference r:id="rId5" w:type="default"/>
      <w:pgSz w:w="11910" w:h="16840"/>
      <w:pgMar w:top="1540" w:right="1560" w:bottom="1180" w:left="1680" w:header="0" w:footer="99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9BFDD">
    <w:pPr>
      <w:pStyle w:val="5"/>
      <w:spacing w:line="14" w:lineRule="auto"/>
      <w:ind w:left="0"/>
      <w:rPr>
        <w:rFonts w:hint="eastAsia"/>
        <w:sz w:val="20"/>
      </w:rPr>
    </w:pPr>
    <w:r>
      <w:rPr>
        <w:rFonts w:hint="eastAsia"/>
      </w:rPr>
      <w:pict>
        <v:shape id="_x0000_s3073" o:spid="_x0000_s3073" o:spt="202" type="#_x0000_t202" style="position:absolute;left:0pt;margin-left:292.35pt;margin-top:781.1pt;height:12pt;width:10.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2A39BFDF">
                <w:pPr>
                  <w:spacing w:before="12"/>
                  <w:ind w:left="60"/>
                  <w:rPr>
                    <w:rFonts w:hint="eastAsia" w:ascii="Times New Roman"/>
                    <w:sz w:val="18"/>
                  </w:rPr>
                </w:pPr>
                <w:r>
                  <w:fldChar w:fldCharType="begin"/>
                </w:r>
                <w:r>
                  <w:rPr>
                    <w:rFonts w:ascii="Times New Roman"/>
                    <w:sz w:val="18"/>
                  </w:rPr>
                  <w:instrText xml:space="preserve"> PAGE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14F5C0"/>
    <w:multiLevelType w:val="singleLevel"/>
    <w:tmpl w:val="BC14F5C0"/>
    <w:lvl w:ilvl="0" w:tentative="0">
      <w:start w:val="2"/>
      <w:numFmt w:val="chineseCounting"/>
      <w:lvlText w:val="%1."/>
      <w:lvlJc w:val="left"/>
      <w:pPr>
        <w:tabs>
          <w:tab w:val="left" w:pos="312"/>
        </w:tabs>
      </w:pPr>
      <w:rPr>
        <w:rFonts w:hint="eastAsia"/>
      </w:rPr>
    </w:lvl>
  </w:abstractNum>
  <w:abstractNum w:abstractNumId="1">
    <w:nsid w:val="10CB7312"/>
    <w:multiLevelType w:val="multilevel"/>
    <w:tmpl w:val="10CB7312"/>
    <w:lvl w:ilvl="0" w:tentative="0">
      <w:start w:val="1"/>
      <w:numFmt w:val="chineseCountingThousand"/>
      <w:suff w:val="space"/>
      <w:lvlText w:val="第%1章"/>
      <w:lvlJc w:val="left"/>
      <w:pPr>
        <w:ind w:left="1365" w:firstLine="0"/>
      </w:pPr>
      <w:rPr>
        <w:rFonts w:cs="Times New Roman"/>
        <w:sz w:val="36"/>
        <w:szCs w:val="36"/>
      </w:rPr>
    </w:lvl>
    <w:lvl w:ilvl="1" w:tentative="0">
      <w:start w:val="1"/>
      <w:numFmt w:val="chineseCountingThousand"/>
      <w:suff w:val="space"/>
      <w:lvlText w:val="第%2节"/>
      <w:lvlJc w:val="left"/>
      <w:pPr>
        <w:ind w:left="142" w:firstLine="0"/>
      </w:pPr>
      <w:rPr>
        <w:rFonts w:cs="Times New Roman"/>
        <w:sz w:val="30"/>
        <w:szCs w:val="30"/>
      </w:rPr>
    </w:lvl>
    <w:lvl w:ilvl="2" w:tentative="0">
      <w:start w:val="1"/>
      <w:numFmt w:val="decimal"/>
      <w:suff w:val="space"/>
      <w:lvlText w:val="%3"/>
      <w:lvlJc w:val="left"/>
      <w:pPr>
        <w:ind w:left="0" w:firstLine="0"/>
      </w:pPr>
      <w:rPr>
        <w:rFonts w:cs="Times New Roman"/>
        <w:sz w:val="28"/>
        <w:szCs w:val="28"/>
      </w:rPr>
    </w:lvl>
    <w:lvl w:ilvl="3" w:tentative="0">
      <w:start w:val="1"/>
      <w:numFmt w:val="decimal"/>
      <w:pStyle w:val="2"/>
      <w:suff w:val="space"/>
      <w:lvlText w:val="%3.%4"/>
      <w:lvlJc w:val="left"/>
      <w:pPr>
        <w:ind w:left="0" w:firstLine="0"/>
      </w:pPr>
      <w:rPr>
        <w:rFonts w:ascii="Times New Roman" w:hAnsi="Times New Roman" w:cs="Times New Roman"/>
        <w:b w:val="0"/>
        <w:bCs w:val="0"/>
        <w:i w:val="0"/>
        <w:iCs w:val="0"/>
        <w:caps w:val="0"/>
        <w:smallCaps w:val="0"/>
        <w:strike w:val="0"/>
        <w:dstrike w:val="0"/>
        <w:vanish w:val="0"/>
        <w:color w:val="auto"/>
        <w:spacing w:val="0"/>
        <w:position w:val="0"/>
        <w:u w:val="none"/>
        <w:vertAlign w:val="baseline"/>
      </w:rPr>
    </w:lvl>
    <w:lvl w:ilvl="4" w:tentative="0">
      <w:start w:val="1"/>
      <w:numFmt w:val="decimal"/>
      <w:pStyle w:val="3"/>
      <w:suff w:val="space"/>
      <w:lvlText w:val="%3.%4.%5"/>
      <w:lvlJc w:val="left"/>
      <w:pPr>
        <w:ind w:left="0" w:firstLine="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5" w:tentative="0">
      <w:start w:val="1"/>
      <w:numFmt w:val="decimal"/>
      <w:suff w:val="space"/>
      <w:lvlText w:val="%3.%4.%5.%6"/>
      <w:lvlJc w:val="left"/>
      <w:pPr>
        <w:ind w:left="0" w:firstLine="0"/>
      </w:pPr>
      <w:rPr>
        <w:rFonts w:hint="default" w:ascii="Times New Roman" w:hAnsi="Times New Roman" w:eastAsia="黑体"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suff w:val="space"/>
      <w:lvlText w:val="%3.%4.%5.%6.%7"/>
      <w:lvlJc w:val="left"/>
      <w:pPr>
        <w:ind w:left="0" w:firstLine="0"/>
      </w:pPr>
      <w:rPr>
        <w:rFonts w:cs="Times New Roman"/>
      </w:rPr>
    </w:lvl>
    <w:lvl w:ilvl="7" w:tentative="0">
      <w:start w:val="1"/>
      <w:numFmt w:val="none"/>
      <w:suff w:val="nothing"/>
      <w:lvlText w:val=""/>
      <w:lvlJc w:val="left"/>
      <w:pPr>
        <w:ind w:left="0" w:firstLine="0"/>
      </w:pPr>
      <w:rPr>
        <w:rFonts w:cs="Times New Roman"/>
      </w:rPr>
    </w:lvl>
    <w:lvl w:ilvl="8" w:tentative="0">
      <w:start w:val="1"/>
      <w:numFmt w:val="none"/>
      <w:suff w:val="nothing"/>
      <w:lvlText w:val=""/>
      <w:lvlJc w:val="left"/>
      <w:pPr>
        <w:ind w:left="0" w:firstLine="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noPunctuationKerning w:val="1"/>
  <w:characterSpacingControl w:val="doNotCompress"/>
  <w:hdrShapeDefaults>
    <o:shapelayout v:ext="edit">
      <o:idmap v:ext="edit" data="1,3"/>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4"/>
  </w:compat>
  <w:docVars>
    <w:docVar w:name="commondata" w:val="eyJoZGlkIjoiNzhiMjFhNjIyYzE0ZWNjMWI5NjJlODEyYTM4NmRiY2EifQ=="/>
  </w:docVars>
  <w:rsids>
    <w:rsidRoot w:val="00670B10"/>
    <w:rsid w:val="00070DD7"/>
    <w:rsid w:val="000B09BB"/>
    <w:rsid w:val="00113F37"/>
    <w:rsid w:val="00130015"/>
    <w:rsid w:val="001637F0"/>
    <w:rsid w:val="0017432C"/>
    <w:rsid w:val="001A0165"/>
    <w:rsid w:val="002801EB"/>
    <w:rsid w:val="002F3331"/>
    <w:rsid w:val="003D0922"/>
    <w:rsid w:val="00495673"/>
    <w:rsid w:val="004B6EE6"/>
    <w:rsid w:val="00554C51"/>
    <w:rsid w:val="005B596B"/>
    <w:rsid w:val="00670B10"/>
    <w:rsid w:val="006C3F9B"/>
    <w:rsid w:val="00717C34"/>
    <w:rsid w:val="00734717"/>
    <w:rsid w:val="0085349A"/>
    <w:rsid w:val="008D0FCD"/>
    <w:rsid w:val="008D3A8B"/>
    <w:rsid w:val="009D37A7"/>
    <w:rsid w:val="00A02B2B"/>
    <w:rsid w:val="00A8257E"/>
    <w:rsid w:val="00A90392"/>
    <w:rsid w:val="00AB40AD"/>
    <w:rsid w:val="00B91970"/>
    <w:rsid w:val="00BA5844"/>
    <w:rsid w:val="00BF55F0"/>
    <w:rsid w:val="00C565AD"/>
    <w:rsid w:val="00DC720C"/>
    <w:rsid w:val="00DD2843"/>
    <w:rsid w:val="00F410FF"/>
    <w:rsid w:val="00F41C38"/>
    <w:rsid w:val="00F829F0"/>
    <w:rsid w:val="00F8460C"/>
    <w:rsid w:val="00FB565C"/>
    <w:rsid w:val="00FE46ED"/>
    <w:rsid w:val="0DD407BD"/>
    <w:rsid w:val="0FFB15E9"/>
    <w:rsid w:val="16BDE8A3"/>
    <w:rsid w:val="19769BCC"/>
    <w:rsid w:val="1E7BB424"/>
    <w:rsid w:val="255F81B9"/>
    <w:rsid w:val="25C7C855"/>
    <w:rsid w:val="27B7928C"/>
    <w:rsid w:val="2DF66609"/>
    <w:rsid w:val="35EFA7CA"/>
    <w:rsid w:val="3676C6F2"/>
    <w:rsid w:val="3767BAB4"/>
    <w:rsid w:val="37AF258F"/>
    <w:rsid w:val="39BBBA9F"/>
    <w:rsid w:val="3F5BA649"/>
    <w:rsid w:val="3F6F07D0"/>
    <w:rsid w:val="40BEB32D"/>
    <w:rsid w:val="437C31E5"/>
    <w:rsid w:val="4E7F5103"/>
    <w:rsid w:val="4E9793C4"/>
    <w:rsid w:val="4F7D228B"/>
    <w:rsid w:val="52F72F08"/>
    <w:rsid w:val="53DC68F8"/>
    <w:rsid w:val="59F7F969"/>
    <w:rsid w:val="5B9FFD41"/>
    <w:rsid w:val="5E3ED99E"/>
    <w:rsid w:val="5EFF7F25"/>
    <w:rsid w:val="5F673DED"/>
    <w:rsid w:val="5FCFF0D7"/>
    <w:rsid w:val="5FD5EC5B"/>
    <w:rsid w:val="5FE72B1A"/>
    <w:rsid w:val="61B7A53C"/>
    <w:rsid w:val="6319769E"/>
    <w:rsid w:val="64DED5E0"/>
    <w:rsid w:val="68FE2F6C"/>
    <w:rsid w:val="6C959F87"/>
    <w:rsid w:val="6E9FB1DF"/>
    <w:rsid w:val="6EEF30B7"/>
    <w:rsid w:val="71E92ECF"/>
    <w:rsid w:val="73F628E2"/>
    <w:rsid w:val="75DFB7B1"/>
    <w:rsid w:val="77330109"/>
    <w:rsid w:val="776FD1C5"/>
    <w:rsid w:val="779B1F41"/>
    <w:rsid w:val="77BFB824"/>
    <w:rsid w:val="77DF6616"/>
    <w:rsid w:val="77EFFF63"/>
    <w:rsid w:val="79F3B04A"/>
    <w:rsid w:val="7B4EF58B"/>
    <w:rsid w:val="7B7FF90B"/>
    <w:rsid w:val="7BF0437B"/>
    <w:rsid w:val="7BF86315"/>
    <w:rsid w:val="7BFE8076"/>
    <w:rsid w:val="7C770D49"/>
    <w:rsid w:val="7EBF1365"/>
    <w:rsid w:val="7EED10C5"/>
    <w:rsid w:val="7EFD52F2"/>
    <w:rsid w:val="7F6CEF5E"/>
    <w:rsid w:val="7F7F12B1"/>
    <w:rsid w:val="7F966A24"/>
    <w:rsid w:val="7FDD6B29"/>
    <w:rsid w:val="7FECDC19"/>
    <w:rsid w:val="7FF750F5"/>
    <w:rsid w:val="7FFED19F"/>
    <w:rsid w:val="7FFF1FA7"/>
    <w:rsid w:val="85FEE72D"/>
    <w:rsid w:val="8D77A96A"/>
    <w:rsid w:val="A6B72631"/>
    <w:rsid w:val="B6FD123E"/>
    <w:rsid w:val="B9FBF991"/>
    <w:rsid w:val="BEB75945"/>
    <w:rsid w:val="BF4F698D"/>
    <w:rsid w:val="BF5D8DD9"/>
    <w:rsid w:val="BFAFED70"/>
    <w:rsid w:val="BFBEEAD6"/>
    <w:rsid w:val="BFF63C50"/>
    <w:rsid w:val="BFF658BA"/>
    <w:rsid w:val="BFF80A06"/>
    <w:rsid w:val="BFFB9482"/>
    <w:rsid w:val="BFFE5818"/>
    <w:rsid w:val="BFFEE0CD"/>
    <w:rsid w:val="CB3D5B0C"/>
    <w:rsid w:val="CFBF2E84"/>
    <w:rsid w:val="CFF79000"/>
    <w:rsid w:val="D9FD58F7"/>
    <w:rsid w:val="DA0F602E"/>
    <w:rsid w:val="DB6F59EA"/>
    <w:rsid w:val="DC7F9A2E"/>
    <w:rsid w:val="DCEAEB5A"/>
    <w:rsid w:val="DE6D4D3E"/>
    <w:rsid w:val="DEFF5E15"/>
    <w:rsid w:val="DF6FDCB0"/>
    <w:rsid w:val="E4AD3BF0"/>
    <w:rsid w:val="E7D70705"/>
    <w:rsid w:val="EECFB9A7"/>
    <w:rsid w:val="EEF6AABF"/>
    <w:rsid w:val="EF473D3E"/>
    <w:rsid w:val="F3EF28B1"/>
    <w:rsid w:val="F5C3EE83"/>
    <w:rsid w:val="F5EB091A"/>
    <w:rsid w:val="F7FC4B64"/>
    <w:rsid w:val="F9FC2D58"/>
    <w:rsid w:val="FBC9C8E6"/>
    <w:rsid w:val="FBF36832"/>
    <w:rsid w:val="FCDA5569"/>
    <w:rsid w:val="FD7ED595"/>
    <w:rsid w:val="FDF4F1D5"/>
    <w:rsid w:val="FE7F8100"/>
    <w:rsid w:val="FEDE4E00"/>
    <w:rsid w:val="FF77DE95"/>
    <w:rsid w:val="FF8F352F"/>
    <w:rsid w:val="FFDD072D"/>
    <w:rsid w:val="FFDE421D"/>
    <w:rsid w:val="FFE93A6C"/>
    <w:rsid w:val="FFF79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after="0" w:line="240" w:lineRule="auto"/>
    </w:pPr>
    <w:rPr>
      <w:rFonts w:ascii="宋体" w:hAnsi="宋体" w:eastAsia="宋体" w:cs="宋体"/>
      <w:sz w:val="22"/>
      <w:szCs w:val="22"/>
      <w:lang w:val="en-US" w:eastAsia="zh-CN" w:bidi="ar-SA"/>
    </w:rPr>
  </w:style>
  <w:style w:type="paragraph" w:styleId="2">
    <w:name w:val="heading 4"/>
    <w:next w:val="1"/>
    <w:qFormat/>
    <w:uiPriority w:val="0"/>
    <w:pPr>
      <w:keepNext/>
      <w:keepLines/>
      <w:widowControl w:val="0"/>
      <w:numPr>
        <w:ilvl w:val="3"/>
        <w:numId w:val="1"/>
      </w:numPr>
      <w:spacing w:after="160" w:line="400" w:lineRule="exact"/>
      <w:outlineLvl w:val="3"/>
    </w:pPr>
    <w:rPr>
      <w:rFonts w:ascii="黑体" w:hAnsi="Times New Roman" w:eastAsia="黑体" w:cs="Times New Roman"/>
      <w:bCs/>
      <w:kern w:val="2"/>
      <w:sz w:val="24"/>
      <w:szCs w:val="24"/>
      <w:lang w:val="zh-CN" w:eastAsia="zh-CN" w:bidi="ar-SA"/>
    </w:rPr>
  </w:style>
  <w:style w:type="paragraph" w:styleId="3">
    <w:name w:val="heading 5"/>
    <w:next w:val="1"/>
    <w:qFormat/>
    <w:uiPriority w:val="0"/>
    <w:pPr>
      <w:keepNext/>
      <w:keepLines/>
      <w:widowControl w:val="0"/>
      <w:numPr>
        <w:ilvl w:val="4"/>
        <w:numId w:val="1"/>
      </w:numPr>
      <w:spacing w:after="160" w:line="400" w:lineRule="atLeast"/>
      <w:jc w:val="both"/>
      <w:outlineLvl w:val="4"/>
    </w:pPr>
    <w:rPr>
      <w:rFonts w:ascii="Times New Roman" w:hAnsi="Times New Roman" w:eastAsia="黑体" w:cs="Times New Roman"/>
      <w:bCs/>
      <w:kern w:val="2"/>
      <w:sz w:val="24"/>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qFormat/>
    <w:uiPriority w:val="0"/>
    <w:pPr>
      <w:widowControl w:val="0"/>
      <w:autoSpaceDE w:val="0"/>
      <w:autoSpaceDN w:val="0"/>
      <w:spacing w:after="0" w:line="240" w:lineRule="auto"/>
    </w:pPr>
    <w:rPr>
      <w:rFonts w:ascii="宋体" w:hAnsi="宋体" w:eastAsia="宋体" w:cs="宋体"/>
      <w:sz w:val="22"/>
      <w:szCs w:val="22"/>
      <w:lang w:val="en-US" w:eastAsia="zh-CN" w:bidi="ar-SA"/>
    </w:rPr>
  </w:style>
  <w:style w:type="paragraph" w:styleId="5">
    <w:name w:val="Body Text"/>
    <w:basedOn w:val="1"/>
    <w:qFormat/>
    <w:uiPriority w:val="1"/>
    <w:pPr>
      <w:ind w:left="120"/>
    </w:pPr>
    <w:rPr>
      <w:sz w:val="24"/>
      <w:szCs w:val="24"/>
    </w:rPr>
  </w:style>
  <w:style w:type="paragraph" w:styleId="6">
    <w:name w:val="footer"/>
    <w:basedOn w:val="1"/>
    <w:link w:val="18"/>
    <w:qFormat/>
    <w:uiPriority w:val="0"/>
    <w:pPr>
      <w:tabs>
        <w:tab w:val="center" w:pos="4153"/>
        <w:tab w:val="right" w:pos="8306"/>
      </w:tabs>
      <w:snapToGrid w:val="0"/>
    </w:pPr>
    <w:rPr>
      <w:sz w:val="18"/>
      <w:szCs w:val="18"/>
    </w:rPr>
  </w:style>
  <w:style w:type="paragraph" w:styleId="7">
    <w:name w:val="header"/>
    <w:basedOn w:val="1"/>
    <w:link w:val="17"/>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cs="Times New Roman"/>
      <w:sz w:val="24"/>
      <w:szCs w:val="24"/>
    </w:rPr>
  </w:style>
  <w:style w:type="paragraph" w:styleId="9">
    <w:name w:val="Title"/>
    <w:basedOn w:val="1"/>
    <w:qFormat/>
    <w:uiPriority w:val="1"/>
    <w:pPr>
      <w:spacing w:before="21"/>
      <w:ind w:left="673"/>
    </w:pPr>
    <w:rPr>
      <w:sz w:val="36"/>
      <w:szCs w:val="36"/>
    </w:rPr>
  </w:style>
  <w:style w:type="character" w:styleId="12">
    <w:name w:val="Hyperlink"/>
    <w:qFormat/>
    <w:uiPriority w:val="0"/>
    <w:rPr>
      <w:color w:val="0000FF"/>
      <w:u w:val="single"/>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style>
  <w:style w:type="paragraph" w:customStyle="1" w:styleId="15">
    <w:name w:val="Table Paragraph"/>
    <w:basedOn w:val="1"/>
    <w:qFormat/>
    <w:uiPriority w:val="1"/>
  </w:style>
  <w:style w:type="paragraph" w:customStyle="1" w:styleId="16">
    <w:name w:val="段"/>
    <w:qFormat/>
    <w:uiPriority w:val="0"/>
    <w:pPr>
      <w:tabs>
        <w:tab w:val="center" w:pos="4201"/>
        <w:tab w:val="right" w:leader="dot" w:pos="9298"/>
      </w:tabs>
      <w:autoSpaceDE w:val="0"/>
      <w:autoSpaceDN w:val="0"/>
      <w:spacing w:after="160" w:line="278" w:lineRule="auto"/>
      <w:ind w:firstLine="420" w:firstLineChars="200"/>
      <w:jc w:val="both"/>
    </w:pPr>
    <w:rPr>
      <w:rFonts w:ascii="宋体" w:hAnsi="Times New Roman" w:eastAsia="宋体" w:cs="Times New Roman"/>
      <w:sz w:val="21"/>
      <w:lang w:val="en-US" w:eastAsia="zh-CN" w:bidi="ar-SA"/>
    </w:rPr>
  </w:style>
  <w:style w:type="character" w:customStyle="1" w:styleId="17">
    <w:name w:val="页眉 字符"/>
    <w:basedOn w:val="11"/>
    <w:link w:val="7"/>
    <w:qFormat/>
    <w:uiPriority w:val="0"/>
    <w:rPr>
      <w:rFonts w:ascii="宋体" w:hAnsi="宋体" w:cs="宋体"/>
      <w:sz w:val="18"/>
      <w:szCs w:val="18"/>
    </w:rPr>
  </w:style>
  <w:style w:type="character" w:customStyle="1" w:styleId="18">
    <w:name w:val="页脚 字符"/>
    <w:basedOn w:val="11"/>
    <w:link w:val="6"/>
    <w:qFormat/>
    <w:uiPriority w:val="0"/>
    <w:rPr>
      <w:rFonts w:ascii="宋体" w:hAnsi="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3812</Words>
  <Characters>4296</Characters>
  <Lines>32</Lines>
  <Paragraphs>9</Paragraphs>
  <TotalTime>25</TotalTime>
  <ScaleCrop>false</ScaleCrop>
  <LinksUpToDate>false</LinksUpToDate>
  <CharactersWithSpaces>4390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2023-11-22T01:13:00Z</dcterms:created>
  <dc:creator>test</dc:creator>
  <cp:lastModifiedBy>陈星瞳</cp:lastModifiedBy>
  <dcterms:modified xsi:type="dcterms:W3CDTF">2024-09-14T01:11:23Z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2023-11-13T00:00:00Z</vt:filetime>
  </property>
  <property fmtid="{D5CDD505-2E9C-101B-9397-08002B2CF9AE}" pid="3" name="KSOProductBuildVer">
    <vt:lpwstr>2052-12.1.0.17857</vt:lpwstr>
  </property>
  <property fmtid="{D5CDD505-2E9C-101B-9397-08002B2CF9AE}" pid="4" name="ICV">
    <vt:lpwstr>124318C04BC541269778899A91D59633_12</vt:lpwstr>
  </property>
</Properties>
</file>